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0D" w:rsidRPr="0071070D" w:rsidRDefault="0071070D" w:rsidP="007107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1070D">
        <w:rPr>
          <w:rFonts w:ascii="Arial" w:hAnsi="Arial" w:cs="Arial"/>
          <w:b/>
          <w:bCs/>
          <w:sz w:val="24"/>
          <w:szCs w:val="24"/>
        </w:rPr>
        <w:t>Arbeitnehmerüberlassung im Baugewerbe</w:t>
      </w: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 xml:space="preserve">Das Überlassen von Arbeitnehmern in Betrieben des Baugewerbes zum Erbringen von Arbeiten, die üblicherweise von Arbeitern verrichtet werden, ist gemäß § 1b AÜG grundsätzlich unzulässig. </w:t>
      </w:r>
    </w:p>
    <w:p w:rsid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>Betriebe des Baugewerbes sind solche, die gewerblich überwiegend Bauleistungen auf dem Baumarkt erbringen. Bauleistungen sind alle Leistungen, die der Herstellung, Instandhaltung, Änderung oder Beseitigung von Bauwerken dienen. Sog</w:t>
      </w:r>
      <w:r>
        <w:rPr>
          <w:rFonts w:ascii="Arial" w:hAnsi="Arial" w:cs="Arial"/>
          <w:sz w:val="20"/>
          <w:szCs w:val="20"/>
        </w:rPr>
        <w:t>enannte</w:t>
      </w:r>
      <w:r w:rsidRPr="0071070D">
        <w:rPr>
          <w:rFonts w:ascii="Arial" w:hAnsi="Arial" w:cs="Arial"/>
          <w:sz w:val="20"/>
          <w:szCs w:val="20"/>
        </w:rPr>
        <w:t xml:space="preserve"> Mischbetriebe werden von § 1 b AÜG erfasst, wenn sie überwiegend Bauleistungen erbringen.</w:t>
      </w: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>Von dieser Verbotsregelung werden jedoch die Fälle der Personalgestellung von vornherein nicht erfasst, die nicht unter den Geltungsbereich des AÜG fallen: Einsatz von Fremdarbeitnehmern aufgrund echter Werk- oder Dienstverträge oder Abordnung von Arbeitnehmern an Arbeitsgemeinschaften.</w:t>
      </w: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>Von dem generellen Verbot der Überlassung von Arbeitern im Baugewerbe sieht das Gesetz gemäß §</w:t>
      </w:r>
      <w:r>
        <w:rPr>
          <w:rFonts w:ascii="Arial" w:hAnsi="Arial" w:cs="Arial"/>
          <w:sz w:val="20"/>
          <w:szCs w:val="20"/>
        </w:rPr>
        <w:t> </w:t>
      </w:r>
      <w:r w:rsidRPr="0071070D">
        <w:rPr>
          <w:rFonts w:ascii="Arial" w:hAnsi="Arial" w:cs="Arial"/>
          <w:sz w:val="20"/>
          <w:szCs w:val="20"/>
        </w:rPr>
        <w:t>1b Satz 2 AÜG zwei Ausnahmen vor. Danach ist die Überlassung von Arbeitern im Baugewerbe zulässig,</w:t>
      </w: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Pr="0071070D" w:rsidRDefault="0071070D" w:rsidP="0071070D">
      <w:pPr>
        <w:pStyle w:val="Listenabsatz"/>
        <w:numPr>
          <w:ilvl w:val="0"/>
          <w:numId w:val="1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>wenn sie zwischen Betrieben des Baugewerbes und anderen Betrieben stattfindet, sofern für diese Betriebe geltende allgemeinverbindlich erklärte Tarifverträge dies bestimmen, oder</w:t>
      </w:r>
    </w:p>
    <w:p w:rsidR="0071070D" w:rsidRPr="0071070D" w:rsidRDefault="0071070D" w:rsidP="0071070D">
      <w:p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71070D" w:rsidRPr="0071070D" w:rsidRDefault="0071070D" w:rsidP="0071070D">
      <w:pPr>
        <w:pStyle w:val="Listenabsatz"/>
        <w:numPr>
          <w:ilvl w:val="0"/>
          <w:numId w:val="1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>wenn die Überlassung zwischen Betrieben des Baugewerbes erfolgt und der verleihende Betrieb seit mindestens drei Jahren von denselben Rahmen- und Sozialkassentarifverträgen oder von deren Allgemeinverbindlichkeit erfasst wird.</w:t>
      </w: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>In Betrieben mit Geschäftssitz in einem anderen Mitgliedsstaat des Europäischen Wirtschaftsraums ist die Überlassung von Arbeiternehmern gemäß § 1b Satz 3 AÜG auch dann gestattet, wenn die ausländischen Betriebe nicht von deutschen Rahmen- und Sozialkassentarifverträgen oder für allgemeinverbindlich erklärten Tarifverträgen erfasst werden, sie aber nachweislich seit mindestens drei Jahren überwiegend Tätigkeiten ausüben, die unter den Geltungsbereich derselben Rahmen- und Sozialkassentarifverträge fallen, von denen der Betrieb des Entleihers erfasst wird.</w:t>
      </w:r>
    </w:p>
    <w:p w:rsidR="0071070D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1EA9" w:rsidRPr="0071070D" w:rsidRDefault="0071070D" w:rsidP="00710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1070D">
        <w:rPr>
          <w:rFonts w:ascii="Arial" w:hAnsi="Arial" w:cs="Arial"/>
          <w:sz w:val="20"/>
          <w:szCs w:val="20"/>
        </w:rPr>
        <w:t>Für den Verleihbetrieb gelten die allgemeinen Vorschriften des AÜG. Der verleihende Arbeitgeber benötigt somit eine Verleiherlaubnis, soweit nicht das Gesetz selbst wieder Ausnahmen vom Erlaubniszwang vorsieht.</w:t>
      </w:r>
      <w:bookmarkStart w:id="0" w:name="_GoBack"/>
      <w:bookmarkEnd w:id="0"/>
    </w:p>
    <w:sectPr w:rsidR="00411EA9" w:rsidRPr="00710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53A"/>
    <w:multiLevelType w:val="hybridMultilevel"/>
    <w:tmpl w:val="99D04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B4A5F"/>
    <w:multiLevelType w:val="hybridMultilevel"/>
    <w:tmpl w:val="8B56D282"/>
    <w:lvl w:ilvl="0" w:tplc="6FC8C40C">
      <w:numFmt w:val="bullet"/>
      <w:lvlText w:val="·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D"/>
    <w:rsid w:val="001E32F2"/>
    <w:rsid w:val="00270387"/>
    <w:rsid w:val="0071070D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FC92"/>
  <w15:chartTrackingRefBased/>
  <w15:docId w15:val="{B904D947-1072-4F37-8243-2739F298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2019-11-08T11:50:00Z</dcterms:created>
  <dcterms:modified xsi:type="dcterms:W3CDTF">2019-11-08T11:53:00Z</dcterms:modified>
</cp:coreProperties>
</file>