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CC" w:rsidRPr="004C5F74" w:rsidRDefault="00843531" w:rsidP="004C5F74">
      <w:pPr>
        <w:spacing w:line="276" w:lineRule="auto"/>
        <w:jc w:val="center"/>
        <w:rPr>
          <w:sz w:val="24"/>
        </w:rPr>
      </w:pPr>
      <w:r w:rsidRPr="004C5F74">
        <w:rPr>
          <w:b/>
          <w:sz w:val="24"/>
        </w:rPr>
        <w:t>Urlaubsanspruch Jugendlicher</w:t>
      </w:r>
    </w:p>
    <w:p w:rsidR="002D73CC" w:rsidRDefault="002D73CC" w:rsidP="004C5F74">
      <w:pPr>
        <w:spacing w:line="276" w:lineRule="auto"/>
        <w:jc w:val="both"/>
        <w:rPr>
          <w:sz w:val="20"/>
        </w:rPr>
      </w:pPr>
    </w:p>
    <w:p w:rsidR="004C5F74" w:rsidRDefault="004C5F74" w:rsidP="004C5F74">
      <w:pPr>
        <w:spacing w:line="276" w:lineRule="auto"/>
        <w:jc w:val="both"/>
        <w:rPr>
          <w:sz w:val="20"/>
        </w:rPr>
      </w:pPr>
    </w:p>
    <w:p w:rsidR="004C5F74" w:rsidRPr="004C5F74" w:rsidRDefault="004C5F74" w:rsidP="004C5F74">
      <w:pPr>
        <w:spacing w:line="276" w:lineRule="auto"/>
        <w:jc w:val="both"/>
        <w:rPr>
          <w:sz w:val="20"/>
        </w:rPr>
      </w:pPr>
    </w:p>
    <w:p w:rsidR="002D73CC" w:rsidRPr="004C5F74" w:rsidRDefault="00843531" w:rsidP="004C5F74">
      <w:pPr>
        <w:pStyle w:val="Textkrper2"/>
        <w:spacing w:line="276" w:lineRule="auto"/>
        <w:rPr>
          <w:sz w:val="20"/>
        </w:rPr>
      </w:pPr>
      <w:r w:rsidRPr="004C5F74">
        <w:rPr>
          <w:sz w:val="20"/>
        </w:rPr>
        <w:t>Der Mindesturlaubsanspruch minderjähriger Beschäftigter, d.</w:t>
      </w:r>
      <w:r w:rsidR="004C5F74">
        <w:rPr>
          <w:sz w:val="20"/>
        </w:rPr>
        <w:t xml:space="preserve"> </w:t>
      </w:r>
      <w:r w:rsidRPr="004C5F74">
        <w:rPr>
          <w:sz w:val="20"/>
        </w:rPr>
        <w:t>h. von solchen, die das 18. Lebensjahr noch nicht vollendet haben, richtet sich nach § 19 Jugendarbeitsschutzgesetz (JArbSchG). Dies gilt sowohl für Auszubildende als auch für sonstige minderjährige Arbeitnehmer.</w:t>
      </w:r>
    </w:p>
    <w:p w:rsidR="002D73CC" w:rsidRPr="004C5F74" w:rsidRDefault="002D73CC" w:rsidP="004C5F74">
      <w:pPr>
        <w:spacing w:line="276" w:lineRule="auto"/>
        <w:jc w:val="both"/>
        <w:rPr>
          <w:snapToGrid w:val="0"/>
          <w:sz w:val="20"/>
        </w:rPr>
      </w:pPr>
    </w:p>
    <w:p w:rsidR="002D73CC" w:rsidRPr="004C5F74" w:rsidRDefault="00843531" w:rsidP="004C5F74">
      <w:pPr>
        <w:spacing w:line="276" w:lineRule="auto"/>
        <w:jc w:val="both"/>
        <w:rPr>
          <w:sz w:val="20"/>
        </w:rPr>
      </w:pPr>
      <w:r w:rsidRPr="004C5F74">
        <w:rPr>
          <w:sz w:val="20"/>
        </w:rPr>
        <w:t>Der Mindesturlaub beträgt danach</w:t>
      </w:r>
    </w:p>
    <w:p w:rsidR="002D73CC" w:rsidRPr="004C5F74" w:rsidRDefault="002D73CC" w:rsidP="004C5F74">
      <w:pPr>
        <w:spacing w:line="276" w:lineRule="auto"/>
        <w:jc w:val="both"/>
        <w:rPr>
          <w:sz w:val="20"/>
        </w:rPr>
      </w:pPr>
    </w:p>
    <w:p w:rsidR="002D73CC" w:rsidRPr="004C5F74" w:rsidRDefault="004C5F74" w:rsidP="004C5F74">
      <w:pPr>
        <w:tabs>
          <w:tab w:val="left" w:pos="2127"/>
        </w:tabs>
        <w:spacing w:line="276" w:lineRule="auto"/>
        <w:ind w:left="567"/>
        <w:jc w:val="both"/>
        <w:rPr>
          <w:sz w:val="20"/>
        </w:rPr>
      </w:pPr>
      <w:r>
        <w:rPr>
          <w:sz w:val="20"/>
        </w:rPr>
        <w:t xml:space="preserve">30 Werktage, </w:t>
      </w:r>
      <w:r w:rsidR="00843531" w:rsidRPr="004C5F74">
        <w:rPr>
          <w:sz w:val="20"/>
        </w:rPr>
        <w:t>wenn der Jugendliche zu Beginn des Kalenderjahres noch nicht 16 Jahre alt ist,</w:t>
      </w:r>
    </w:p>
    <w:p w:rsidR="002D73CC" w:rsidRPr="004C5F74" w:rsidRDefault="00843531" w:rsidP="004C5F74">
      <w:pPr>
        <w:tabs>
          <w:tab w:val="left" w:pos="2127"/>
        </w:tabs>
        <w:spacing w:line="276" w:lineRule="auto"/>
        <w:ind w:left="567"/>
        <w:jc w:val="both"/>
        <w:rPr>
          <w:sz w:val="20"/>
        </w:rPr>
      </w:pPr>
      <w:r w:rsidRPr="004C5F74">
        <w:rPr>
          <w:sz w:val="20"/>
        </w:rPr>
        <w:t>27 Werktage, wenn der Jugendliche zu Beginn des Kalenderjahres noch nicht 17 Jahre alt ist,</w:t>
      </w:r>
    </w:p>
    <w:p w:rsidR="002D73CC" w:rsidRPr="004C5F74" w:rsidRDefault="00843531" w:rsidP="004C5F74">
      <w:pPr>
        <w:tabs>
          <w:tab w:val="left" w:pos="2127"/>
        </w:tabs>
        <w:spacing w:line="276" w:lineRule="auto"/>
        <w:ind w:left="567"/>
        <w:jc w:val="both"/>
        <w:rPr>
          <w:sz w:val="20"/>
        </w:rPr>
      </w:pPr>
      <w:r w:rsidRPr="004C5F74">
        <w:rPr>
          <w:sz w:val="20"/>
        </w:rPr>
        <w:t>25 Werktage, wenn der Jugendliche zu Beginn des Kalenderjahres noch nicht 18 Jahre alt ist.</w:t>
      </w:r>
    </w:p>
    <w:p w:rsidR="002D73CC" w:rsidRPr="004C5F74" w:rsidRDefault="002D73CC" w:rsidP="004C5F74">
      <w:pPr>
        <w:spacing w:line="276" w:lineRule="auto"/>
        <w:jc w:val="both"/>
        <w:rPr>
          <w:sz w:val="20"/>
        </w:rPr>
      </w:pPr>
    </w:p>
    <w:p w:rsidR="002D73CC" w:rsidRPr="004C5F74" w:rsidRDefault="00843531" w:rsidP="004C5F74">
      <w:pPr>
        <w:pStyle w:val="Formatvorlage1"/>
        <w:spacing w:line="276" w:lineRule="auto"/>
        <w:rPr>
          <w:sz w:val="20"/>
        </w:rPr>
      </w:pPr>
      <w:r w:rsidRPr="004C5F74">
        <w:rPr>
          <w:sz w:val="20"/>
        </w:rPr>
        <w:t>Zu beachten ist, dass als Werktage alle Kalendertage gelten, die nicht Sonn- oder Feiertage sind, d.</w:t>
      </w:r>
      <w:r w:rsidR="004C5F74">
        <w:rPr>
          <w:sz w:val="20"/>
        </w:rPr>
        <w:t xml:space="preserve"> </w:t>
      </w:r>
      <w:r w:rsidRPr="004C5F74">
        <w:rPr>
          <w:sz w:val="20"/>
        </w:rPr>
        <w:t xml:space="preserve">h. </w:t>
      </w:r>
      <w:r w:rsidR="004C5F74">
        <w:rPr>
          <w:sz w:val="20"/>
        </w:rPr>
        <w:t>grundsätzlich auch Samstage, so</w:t>
      </w:r>
      <w:r w:rsidRPr="004C5F74">
        <w:rPr>
          <w:sz w:val="20"/>
        </w:rPr>
        <w:t xml:space="preserve">dass der Mindesturlaubsanspruch auf eine </w:t>
      </w:r>
      <w:r w:rsidR="004C5F74">
        <w:rPr>
          <w:sz w:val="20"/>
        </w:rPr>
        <w:t>Sechs</w:t>
      </w:r>
      <w:r w:rsidRPr="004C5F74">
        <w:rPr>
          <w:sz w:val="20"/>
        </w:rPr>
        <w:t>-</w:t>
      </w:r>
      <w:r w:rsidR="004C5F74">
        <w:rPr>
          <w:sz w:val="20"/>
        </w:rPr>
        <w:t>T</w:t>
      </w:r>
      <w:r w:rsidRPr="004C5F74">
        <w:rPr>
          <w:sz w:val="20"/>
        </w:rPr>
        <w:t>age-Woche bezogen werden muss und damit z.</w:t>
      </w:r>
      <w:r w:rsidR="004C5F74">
        <w:rPr>
          <w:sz w:val="20"/>
        </w:rPr>
        <w:t> </w:t>
      </w:r>
      <w:r w:rsidRPr="004C5F74">
        <w:rPr>
          <w:sz w:val="20"/>
        </w:rPr>
        <w:t xml:space="preserve">B. für zu Beginn eines Kalenderjahres noch nicht 16 Jahre alte Beschäftigte insgesamt mindestens genau fünf Wochen Urlaub zu gewähren sind. Wird in einem Betrieb jedoch nur an fünf Werktagen pro Woche gearbeitet, beträgt auch der Mindesturlaubsanspruch für den zu Beginn des Kalenderjahres noch nicht 16 Jahre alten Beschäftigten nur 25 </w:t>
      </w:r>
      <w:r w:rsidR="004C5F74">
        <w:rPr>
          <w:sz w:val="20"/>
        </w:rPr>
        <w:t>Arbeitstage.</w:t>
      </w:r>
    </w:p>
    <w:p w:rsidR="002D73CC" w:rsidRPr="004C5F74" w:rsidRDefault="002D73CC" w:rsidP="004C5F74">
      <w:pPr>
        <w:spacing w:line="276" w:lineRule="auto"/>
        <w:jc w:val="both"/>
        <w:rPr>
          <w:sz w:val="20"/>
        </w:rPr>
      </w:pPr>
    </w:p>
    <w:p w:rsidR="002D73CC" w:rsidRPr="004C5F74" w:rsidRDefault="00843531" w:rsidP="004C5F74">
      <w:pPr>
        <w:pStyle w:val="Formatvorlage1"/>
        <w:spacing w:line="276" w:lineRule="auto"/>
        <w:rPr>
          <w:sz w:val="20"/>
        </w:rPr>
      </w:pPr>
      <w:r w:rsidRPr="004C5F74">
        <w:rPr>
          <w:sz w:val="20"/>
        </w:rPr>
        <w:t>Berufsschülern soll der Urlaub in den Berufsschulferien gewährt werden. Wird der Urlaub während der Berufsschulzeit gewährt, so ist für jeden Berufsschultag ein weiterer Urlaubstag zu gewähren.</w:t>
      </w:r>
    </w:p>
    <w:p w:rsidR="002D73CC" w:rsidRPr="004C5F74" w:rsidRDefault="002D73CC" w:rsidP="004C5F74">
      <w:pPr>
        <w:spacing w:line="276" w:lineRule="auto"/>
        <w:jc w:val="both"/>
        <w:rPr>
          <w:sz w:val="20"/>
        </w:rPr>
      </w:pPr>
    </w:p>
    <w:p w:rsidR="00843531" w:rsidRPr="004C5F74" w:rsidRDefault="00843531" w:rsidP="004C5F74">
      <w:pPr>
        <w:spacing w:line="276" w:lineRule="auto"/>
        <w:jc w:val="both"/>
        <w:rPr>
          <w:sz w:val="20"/>
        </w:rPr>
      </w:pPr>
      <w:r w:rsidRPr="004C5F74">
        <w:rPr>
          <w:sz w:val="20"/>
        </w:rPr>
        <w:t>Ansonsten gelten grundsätzlich die allgemeinen Regelungen zum Urlaubsanspruch volljähriger Arbeitnehmer</w:t>
      </w:r>
      <w:r w:rsidR="004C5F74">
        <w:rPr>
          <w:sz w:val="20"/>
        </w:rPr>
        <w:t>.</w:t>
      </w:r>
      <w:bookmarkStart w:id="0" w:name="_GoBack"/>
      <w:bookmarkEnd w:id="0"/>
    </w:p>
    <w:sectPr w:rsidR="00843531" w:rsidRPr="004C5F74">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31" w:rsidRDefault="00843531" w:rsidP="00EA6B2E">
      <w:r>
        <w:separator/>
      </w:r>
    </w:p>
  </w:endnote>
  <w:endnote w:type="continuationSeparator" w:id="0">
    <w:p w:rsidR="00843531" w:rsidRDefault="00843531" w:rsidP="00EA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31" w:rsidRDefault="00843531" w:rsidP="00EA6B2E">
      <w:r>
        <w:separator/>
      </w:r>
    </w:p>
  </w:footnote>
  <w:footnote w:type="continuationSeparator" w:id="0">
    <w:p w:rsidR="00843531" w:rsidRDefault="00843531" w:rsidP="00EA6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0B1C"/>
    <w:multiLevelType w:val="hybridMultilevel"/>
    <w:tmpl w:val="0862D200"/>
    <w:lvl w:ilvl="0" w:tplc="50928188">
      <w:start w:val="1"/>
      <w:numFmt w:val="bullet"/>
      <w:lvlText w:val="-"/>
      <w:lvlJc w:val="left"/>
      <w:pPr>
        <w:tabs>
          <w:tab w:val="num" w:pos="720"/>
        </w:tabs>
        <w:ind w:left="720" w:hanging="360"/>
      </w:pPr>
      <w:rPr>
        <w:rFonts w:ascii="Times New Roman" w:eastAsia="Times New Roman" w:hAnsi="Times New Roman" w:cs="Times New Roman" w:hint="default"/>
      </w:rPr>
    </w:lvl>
    <w:lvl w:ilvl="1" w:tplc="AC68B83A" w:tentative="1">
      <w:start w:val="1"/>
      <w:numFmt w:val="bullet"/>
      <w:lvlText w:val="o"/>
      <w:lvlJc w:val="left"/>
      <w:pPr>
        <w:tabs>
          <w:tab w:val="num" w:pos="1440"/>
        </w:tabs>
        <w:ind w:left="1440" w:hanging="360"/>
      </w:pPr>
      <w:rPr>
        <w:rFonts w:ascii="Courier New" w:hAnsi="Courier New" w:hint="default"/>
      </w:rPr>
    </w:lvl>
    <w:lvl w:ilvl="2" w:tplc="39141EC0" w:tentative="1">
      <w:start w:val="1"/>
      <w:numFmt w:val="bullet"/>
      <w:lvlText w:val=""/>
      <w:lvlJc w:val="left"/>
      <w:pPr>
        <w:tabs>
          <w:tab w:val="num" w:pos="2160"/>
        </w:tabs>
        <w:ind w:left="2160" w:hanging="360"/>
      </w:pPr>
      <w:rPr>
        <w:rFonts w:ascii="Wingdings" w:hAnsi="Wingdings" w:hint="default"/>
      </w:rPr>
    </w:lvl>
    <w:lvl w:ilvl="3" w:tplc="1BA87652" w:tentative="1">
      <w:start w:val="1"/>
      <w:numFmt w:val="bullet"/>
      <w:lvlText w:val=""/>
      <w:lvlJc w:val="left"/>
      <w:pPr>
        <w:tabs>
          <w:tab w:val="num" w:pos="2880"/>
        </w:tabs>
        <w:ind w:left="2880" w:hanging="360"/>
      </w:pPr>
      <w:rPr>
        <w:rFonts w:ascii="Symbol" w:hAnsi="Symbol" w:hint="default"/>
      </w:rPr>
    </w:lvl>
    <w:lvl w:ilvl="4" w:tplc="A5F68178" w:tentative="1">
      <w:start w:val="1"/>
      <w:numFmt w:val="bullet"/>
      <w:lvlText w:val="o"/>
      <w:lvlJc w:val="left"/>
      <w:pPr>
        <w:tabs>
          <w:tab w:val="num" w:pos="3600"/>
        </w:tabs>
        <w:ind w:left="3600" w:hanging="360"/>
      </w:pPr>
      <w:rPr>
        <w:rFonts w:ascii="Courier New" w:hAnsi="Courier New" w:hint="default"/>
      </w:rPr>
    </w:lvl>
    <w:lvl w:ilvl="5" w:tplc="47C60F22" w:tentative="1">
      <w:start w:val="1"/>
      <w:numFmt w:val="bullet"/>
      <w:lvlText w:val=""/>
      <w:lvlJc w:val="left"/>
      <w:pPr>
        <w:tabs>
          <w:tab w:val="num" w:pos="4320"/>
        </w:tabs>
        <w:ind w:left="4320" w:hanging="360"/>
      </w:pPr>
      <w:rPr>
        <w:rFonts w:ascii="Wingdings" w:hAnsi="Wingdings" w:hint="default"/>
      </w:rPr>
    </w:lvl>
    <w:lvl w:ilvl="6" w:tplc="D740559E" w:tentative="1">
      <w:start w:val="1"/>
      <w:numFmt w:val="bullet"/>
      <w:lvlText w:val=""/>
      <w:lvlJc w:val="left"/>
      <w:pPr>
        <w:tabs>
          <w:tab w:val="num" w:pos="5040"/>
        </w:tabs>
        <w:ind w:left="5040" w:hanging="360"/>
      </w:pPr>
      <w:rPr>
        <w:rFonts w:ascii="Symbol" w:hAnsi="Symbol" w:hint="default"/>
      </w:rPr>
    </w:lvl>
    <w:lvl w:ilvl="7" w:tplc="E17C003A" w:tentative="1">
      <w:start w:val="1"/>
      <w:numFmt w:val="bullet"/>
      <w:lvlText w:val="o"/>
      <w:lvlJc w:val="left"/>
      <w:pPr>
        <w:tabs>
          <w:tab w:val="num" w:pos="5760"/>
        </w:tabs>
        <w:ind w:left="5760" w:hanging="360"/>
      </w:pPr>
      <w:rPr>
        <w:rFonts w:ascii="Courier New" w:hAnsi="Courier New" w:hint="default"/>
      </w:rPr>
    </w:lvl>
    <w:lvl w:ilvl="8" w:tplc="3182A6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9C"/>
    <w:rsid w:val="002D73CC"/>
    <w:rsid w:val="0040549C"/>
    <w:rsid w:val="004C5F74"/>
    <w:rsid w:val="00843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EAB12"/>
  <w15:docId w15:val="{4026A542-1FAB-4503-812F-1AAF8D26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 w:type="character" w:styleId="Hyperlink">
    <w:name w:val="Hyperlink"/>
    <w:basedOn w:val="Absatz-Standardschriftart"/>
    <w:semiHidden/>
    <w:rPr>
      <w:color w:val="0000FF"/>
      <w:u w:val="single"/>
    </w:rPr>
  </w:style>
  <w:style w:type="paragraph" w:styleId="Textkrper2">
    <w:name w:val="Body Text 2"/>
    <w:basedOn w:val="Standard"/>
    <w:semiHidden/>
    <w:pPr>
      <w:jc w:val="both"/>
    </w:pPr>
    <w:rPr>
      <w:snapToGrid w:val="0"/>
    </w:rPr>
  </w:style>
  <w:style w:type="paragraph" w:styleId="StandardWeb">
    <w:name w:val="Normal (Web)"/>
    <w:basedOn w:val="Standard"/>
    <w:semiHidden/>
    <w:pPr>
      <w:spacing w:before="100" w:beforeAutospacing="1" w:after="100" w:afterAutospacing="1"/>
    </w:pPr>
    <w:rPr>
      <w:rFonts w:ascii="Times New Roman" w:hAnsi="Times New Roman"/>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Ethan Frome</vt:lpstr>
    </vt:vector>
  </TitlesOfParts>
  <Company>HAWIS GmbH</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Daniela Herling</cp:lastModifiedBy>
  <cp:revision>2</cp:revision>
  <cp:lastPrinted>2009-05-13T10:13:00Z</cp:lastPrinted>
  <dcterms:created xsi:type="dcterms:W3CDTF">2019-08-06T10:57:00Z</dcterms:created>
  <dcterms:modified xsi:type="dcterms:W3CDTF">2019-08-06T10:57:00Z</dcterms:modified>
</cp:coreProperties>
</file>