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ACC" w:rsidRDefault="000A6ACC" w:rsidP="000A6ACC">
      <w:pPr>
        <w:spacing w:after="0" w:line="240" w:lineRule="auto"/>
        <w:jc w:val="center"/>
        <w:rPr>
          <w:rFonts w:ascii="Arial" w:eastAsia="Times New Roman" w:hAnsi="Arial" w:cs="Times New Roman"/>
          <w:b/>
          <w:sz w:val="28"/>
          <w:szCs w:val="20"/>
        </w:rPr>
      </w:pPr>
      <w:r w:rsidRPr="000A6ACC">
        <w:rPr>
          <w:rFonts w:ascii="Arial" w:eastAsia="Times New Roman" w:hAnsi="Arial" w:cs="Times New Roman"/>
          <w:b/>
          <w:sz w:val="28"/>
          <w:szCs w:val="20"/>
        </w:rPr>
        <w:t xml:space="preserve">Prüffristen für Wiederholungsprüfungen </w:t>
      </w:r>
      <w:r w:rsidRPr="000A6ACC">
        <w:rPr>
          <w:rFonts w:ascii="Arial" w:eastAsia="Times New Roman" w:hAnsi="Arial" w:cs="Times New Roman"/>
          <w:b/>
          <w:sz w:val="28"/>
          <w:szCs w:val="20"/>
        </w:rPr>
        <w:br/>
        <w:t>ortsveränderlicher elektrischer Betriebsmittel</w:t>
      </w:r>
    </w:p>
    <w:p w:rsidR="000A6ACC" w:rsidRPr="000A6ACC" w:rsidRDefault="000A6ACC" w:rsidP="000A6ACC">
      <w:pPr>
        <w:spacing w:after="0" w:line="240" w:lineRule="auto"/>
        <w:jc w:val="center"/>
        <w:rPr>
          <w:rFonts w:ascii="Arial" w:eastAsia="Times New Roman" w:hAnsi="Arial" w:cs="Times New Roman"/>
          <w:b/>
          <w:sz w:val="28"/>
          <w:szCs w:val="20"/>
        </w:rPr>
      </w:pPr>
    </w:p>
    <w:p w:rsidR="000A6ACC" w:rsidRPr="000A6ACC" w:rsidRDefault="000A6ACC" w:rsidP="000A6ACC">
      <w:pPr>
        <w:jc w:val="center"/>
        <w:rPr>
          <w:rFonts w:ascii="Arial" w:hAnsi="Arial" w:cs="Arial"/>
          <w:b/>
          <w:sz w:val="20"/>
        </w:rPr>
      </w:pPr>
      <w:r>
        <w:rPr>
          <w:rFonts w:ascii="Arial" w:hAnsi="Arial" w:cs="Arial"/>
          <w:b/>
          <w:sz w:val="20"/>
        </w:rPr>
        <w:t>(</w:t>
      </w:r>
      <w:r w:rsidRPr="000A6ACC">
        <w:rPr>
          <w:rFonts w:ascii="Arial" w:hAnsi="Arial" w:cs="Arial"/>
          <w:b/>
          <w:sz w:val="20"/>
        </w:rPr>
        <w:t>DGUV Vorschrift 3 § 5, DGUV Information 203-006</w:t>
      </w:r>
      <w:r>
        <w:rPr>
          <w:rFonts w:ascii="Arial" w:hAnsi="Arial" w:cs="Arial"/>
          <w:b/>
          <w:sz w:val="20"/>
        </w:rPr>
        <w:t>)</w:t>
      </w:r>
    </w:p>
    <w:tbl>
      <w:tblPr>
        <w:tblW w:w="98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1985"/>
        <w:gridCol w:w="2551"/>
        <w:gridCol w:w="1768"/>
      </w:tblGrid>
      <w:tr w:rsidR="000A6ACC" w:rsidRPr="000A6ACC" w:rsidTr="000A6ACC">
        <w:trPr>
          <w:tblHeader/>
        </w:trPr>
        <w:tc>
          <w:tcPr>
            <w:tcW w:w="3544" w:type="dxa"/>
            <w:tcBorders>
              <w:bottom w:val="single" w:sz="4" w:space="0" w:color="auto"/>
            </w:tcBorders>
            <w:shd w:val="clear" w:color="auto" w:fill="FFFFFF"/>
            <w:vAlign w:val="center"/>
          </w:tcPr>
          <w:p w:rsidR="000A6ACC" w:rsidRPr="000A6ACC" w:rsidRDefault="000A6ACC" w:rsidP="000A6ACC">
            <w:pPr>
              <w:spacing w:before="120" w:after="120" w:line="22" w:lineRule="atLeast"/>
              <w:jc w:val="center"/>
              <w:rPr>
                <w:rFonts w:ascii="Arial" w:eastAsia="Times New Roman" w:hAnsi="Arial" w:cs="Arial"/>
                <w:b/>
                <w:noProof/>
                <w:sz w:val="20"/>
                <w:szCs w:val="20"/>
              </w:rPr>
            </w:pPr>
            <w:r w:rsidRPr="000A6ACC">
              <w:rPr>
                <w:rFonts w:ascii="Arial" w:eastAsia="Times New Roman" w:hAnsi="Arial" w:cs="Arial"/>
                <w:b/>
                <w:noProof/>
                <w:sz w:val="20"/>
                <w:szCs w:val="20"/>
              </w:rPr>
              <w:t>Betriebsmittel</w:t>
            </w:r>
          </w:p>
        </w:tc>
        <w:tc>
          <w:tcPr>
            <w:tcW w:w="1985" w:type="dxa"/>
            <w:tcBorders>
              <w:bottom w:val="single" w:sz="4" w:space="0" w:color="auto"/>
            </w:tcBorders>
            <w:shd w:val="clear" w:color="auto" w:fill="FFFFFF"/>
            <w:vAlign w:val="center"/>
          </w:tcPr>
          <w:p w:rsidR="000A6ACC" w:rsidRPr="000A6ACC" w:rsidRDefault="000A6ACC" w:rsidP="000A6ACC">
            <w:pPr>
              <w:spacing w:before="120" w:after="120" w:line="22" w:lineRule="atLeast"/>
              <w:jc w:val="center"/>
              <w:rPr>
                <w:rFonts w:ascii="Arial" w:eastAsia="Times New Roman" w:hAnsi="Arial" w:cs="Arial"/>
                <w:b/>
                <w:noProof/>
                <w:sz w:val="20"/>
                <w:szCs w:val="20"/>
              </w:rPr>
            </w:pPr>
            <w:r w:rsidRPr="000A6ACC">
              <w:rPr>
                <w:rFonts w:ascii="Arial" w:eastAsia="Times New Roman" w:hAnsi="Arial" w:cs="Arial"/>
                <w:b/>
                <w:noProof/>
                <w:sz w:val="20"/>
                <w:szCs w:val="20"/>
              </w:rPr>
              <w:t>Prüffrist</w:t>
            </w:r>
            <w:r w:rsidRPr="000A6ACC">
              <w:rPr>
                <w:rFonts w:ascii="Arial" w:eastAsia="Times New Roman" w:hAnsi="Arial" w:cs="Arial"/>
                <w:b/>
                <w:noProof/>
                <w:sz w:val="20"/>
                <w:szCs w:val="20"/>
              </w:rPr>
              <w:br/>
            </w:r>
            <w:r w:rsidRPr="000A6ACC">
              <w:rPr>
                <w:rFonts w:ascii="Arial" w:eastAsia="Times New Roman" w:hAnsi="Arial" w:cs="Arial"/>
                <w:noProof/>
                <w:sz w:val="20"/>
                <w:szCs w:val="20"/>
              </w:rPr>
              <w:t>(Höchstwerte)</w:t>
            </w:r>
          </w:p>
        </w:tc>
        <w:tc>
          <w:tcPr>
            <w:tcW w:w="2551" w:type="dxa"/>
            <w:tcBorders>
              <w:bottom w:val="single" w:sz="4" w:space="0" w:color="auto"/>
            </w:tcBorders>
            <w:shd w:val="clear" w:color="auto" w:fill="FFFFFF"/>
            <w:vAlign w:val="center"/>
          </w:tcPr>
          <w:p w:rsidR="000A6ACC" w:rsidRPr="000A6ACC" w:rsidRDefault="000A6ACC" w:rsidP="000A6ACC">
            <w:pPr>
              <w:spacing w:before="120" w:after="120" w:line="22" w:lineRule="atLeast"/>
              <w:jc w:val="center"/>
              <w:rPr>
                <w:rFonts w:ascii="Arial" w:eastAsia="Times New Roman" w:hAnsi="Arial" w:cs="Arial"/>
                <w:b/>
                <w:noProof/>
                <w:sz w:val="20"/>
                <w:szCs w:val="20"/>
              </w:rPr>
            </w:pPr>
            <w:r w:rsidRPr="000A6ACC">
              <w:rPr>
                <w:rFonts w:ascii="Arial" w:eastAsia="Times New Roman" w:hAnsi="Arial" w:cs="Arial"/>
                <w:b/>
                <w:noProof/>
                <w:sz w:val="20"/>
                <w:szCs w:val="20"/>
              </w:rPr>
              <w:t>Einsatzgebiet, Kommentare</w:t>
            </w:r>
          </w:p>
        </w:tc>
        <w:tc>
          <w:tcPr>
            <w:tcW w:w="1768" w:type="dxa"/>
            <w:tcBorders>
              <w:bottom w:val="single" w:sz="4" w:space="0" w:color="auto"/>
            </w:tcBorders>
            <w:shd w:val="clear" w:color="auto" w:fill="FFFFFF"/>
            <w:vAlign w:val="center"/>
          </w:tcPr>
          <w:p w:rsidR="000A6ACC" w:rsidRPr="000A6ACC" w:rsidRDefault="000A6ACC" w:rsidP="000A6ACC">
            <w:pPr>
              <w:spacing w:before="120" w:after="120" w:line="22" w:lineRule="atLeast"/>
              <w:jc w:val="center"/>
              <w:rPr>
                <w:rFonts w:ascii="Arial" w:eastAsia="Times New Roman" w:hAnsi="Arial" w:cs="Arial"/>
                <w:b/>
                <w:noProof/>
                <w:sz w:val="20"/>
                <w:szCs w:val="20"/>
              </w:rPr>
            </w:pPr>
            <w:r w:rsidRPr="000A6ACC">
              <w:rPr>
                <w:rFonts w:ascii="Arial" w:eastAsia="Times New Roman" w:hAnsi="Arial" w:cs="Arial"/>
                <w:b/>
                <w:noProof/>
                <w:sz w:val="20"/>
                <w:szCs w:val="20"/>
              </w:rPr>
              <w:t>Prüfer</w:t>
            </w:r>
          </w:p>
        </w:tc>
      </w:tr>
      <w:tr w:rsidR="000A6ACC" w:rsidRPr="000A6ACC" w:rsidTr="000A6ACC">
        <w:trPr>
          <w:cantSplit/>
          <w:trHeight w:val="825"/>
        </w:trPr>
        <w:tc>
          <w:tcPr>
            <w:tcW w:w="3544" w:type="dxa"/>
            <w:vMerge w:val="restart"/>
          </w:tcPr>
          <w:p w:rsidR="000A6ACC" w:rsidRPr="000A6ACC" w:rsidRDefault="000A6ACC" w:rsidP="000A6ACC">
            <w:pPr>
              <w:spacing w:before="240" w:after="960" w:line="22" w:lineRule="atLeast"/>
              <w:rPr>
                <w:rFonts w:ascii="Arial" w:eastAsia="Times New Roman" w:hAnsi="Arial" w:cs="Arial"/>
                <w:noProof/>
                <w:sz w:val="20"/>
                <w:szCs w:val="20"/>
              </w:rPr>
            </w:pPr>
            <w:r w:rsidRPr="000A6ACC">
              <w:rPr>
                <w:rFonts w:ascii="Arial" w:eastAsia="Times New Roman" w:hAnsi="Arial" w:cs="Arial"/>
                <w:noProof/>
                <w:sz w:val="20"/>
                <w:szCs w:val="20"/>
              </w:rPr>
              <w:t xml:space="preserve">dazu zählen folgende ortsveränderliche elektrische Betriebsmittel </w:t>
            </w:r>
            <w:r w:rsidRPr="000A6ACC">
              <w:rPr>
                <w:rFonts w:ascii="Arial" w:eastAsia="Times New Roman" w:hAnsi="Arial" w:cs="Arial"/>
                <w:noProof/>
                <w:sz w:val="20"/>
                <w:szCs w:val="20"/>
              </w:rPr>
              <w:br/>
              <w:t>(soweit benutzt):</w:t>
            </w:r>
          </w:p>
          <w:p w:rsidR="000A6ACC" w:rsidRPr="000A6ACC" w:rsidRDefault="000A6ACC" w:rsidP="000A6ACC">
            <w:pPr>
              <w:spacing w:before="240" w:after="960" w:line="22" w:lineRule="atLeast"/>
              <w:rPr>
                <w:rFonts w:ascii="Arial" w:eastAsia="Times New Roman" w:hAnsi="Arial" w:cs="Arial"/>
                <w:noProof/>
                <w:sz w:val="20"/>
                <w:szCs w:val="20"/>
              </w:rPr>
            </w:pPr>
            <w:r w:rsidRPr="000A6ACC">
              <w:rPr>
                <w:rFonts w:ascii="Arial" w:eastAsia="Times New Roman" w:hAnsi="Arial" w:cs="Arial"/>
                <w:noProof/>
                <w:sz w:val="20"/>
                <w:szCs w:val="20"/>
              </w:rPr>
              <w:t>Geräte und Maschinen</w:t>
            </w:r>
          </w:p>
          <w:p w:rsidR="000A6ACC" w:rsidRPr="000A6ACC" w:rsidRDefault="000A6ACC" w:rsidP="000A6ACC">
            <w:pPr>
              <w:spacing w:before="240" w:after="960" w:line="22" w:lineRule="atLeast"/>
              <w:rPr>
                <w:rFonts w:ascii="Arial" w:eastAsia="Times New Roman" w:hAnsi="Arial" w:cs="Arial"/>
                <w:noProof/>
                <w:sz w:val="20"/>
                <w:szCs w:val="20"/>
              </w:rPr>
            </w:pPr>
            <w:r w:rsidRPr="000A6ACC">
              <w:rPr>
                <w:rFonts w:ascii="Arial" w:eastAsia="Times New Roman" w:hAnsi="Arial" w:cs="Arial"/>
                <w:noProof/>
                <w:sz w:val="20"/>
                <w:szCs w:val="20"/>
              </w:rPr>
              <w:t>Verlängerungs- und Geräteanschlussleitungen mit Steckvorrichtungen</w:t>
            </w:r>
          </w:p>
          <w:p w:rsidR="000A6ACC" w:rsidRPr="000A6ACC" w:rsidRDefault="000A6ACC" w:rsidP="000A6ACC">
            <w:pPr>
              <w:spacing w:before="240" w:after="960" w:line="22" w:lineRule="atLeast"/>
              <w:rPr>
                <w:rFonts w:ascii="Arial" w:eastAsia="Times New Roman" w:hAnsi="Arial" w:cs="Arial"/>
                <w:noProof/>
                <w:sz w:val="20"/>
                <w:szCs w:val="20"/>
              </w:rPr>
            </w:pPr>
            <w:r w:rsidRPr="000A6ACC">
              <w:rPr>
                <w:rFonts w:ascii="Arial" w:eastAsia="Times New Roman" w:hAnsi="Arial" w:cs="Arial"/>
                <w:noProof/>
                <w:sz w:val="20"/>
                <w:szCs w:val="20"/>
              </w:rPr>
              <w:t xml:space="preserve">Anschlussleitungen </w:t>
            </w:r>
            <w:r w:rsidRPr="000A6ACC">
              <w:rPr>
                <w:rFonts w:ascii="Arial" w:eastAsia="Times New Roman" w:hAnsi="Arial" w:cs="Arial"/>
                <w:noProof/>
                <w:sz w:val="20"/>
                <w:szCs w:val="20"/>
              </w:rPr>
              <w:br/>
              <w:t>mit Stecker</w:t>
            </w:r>
          </w:p>
          <w:p w:rsidR="000A6ACC" w:rsidRPr="000A6ACC" w:rsidRDefault="000A6ACC" w:rsidP="000A6ACC">
            <w:pPr>
              <w:spacing w:before="240" w:after="960" w:line="22" w:lineRule="atLeast"/>
              <w:rPr>
                <w:rFonts w:ascii="Arial" w:eastAsia="Times New Roman" w:hAnsi="Arial" w:cs="Arial"/>
                <w:noProof/>
                <w:sz w:val="20"/>
                <w:szCs w:val="20"/>
              </w:rPr>
            </w:pPr>
            <w:r w:rsidRPr="000A6ACC">
              <w:rPr>
                <w:rFonts w:ascii="Arial" w:eastAsia="Times New Roman" w:hAnsi="Arial" w:cs="Arial"/>
                <w:noProof/>
                <w:sz w:val="20"/>
                <w:szCs w:val="20"/>
              </w:rPr>
              <w:t>bewegliche Leitungen mit Stecker oder Festanschluss</w:t>
            </w:r>
          </w:p>
        </w:tc>
        <w:tc>
          <w:tcPr>
            <w:tcW w:w="1985" w:type="dxa"/>
            <w:vAlign w:val="center"/>
          </w:tcPr>
          <w:p w:rsidR="000A6ACC" w:rsidRPr="000A6ACC" w:rsidRDefault="000A6ACC" w:rsidP="000A6ACC">
            <w:pPr>
              <w:spacing w:before="100" w:after="100" w:line="22" w:lineRule="atLeast"/>
              <w:jc w:val="center"/>
              <w:rPr>
                <w:rFonts w:ascii="Arial" w:eastAsia="Times New Roman" w:hAnsi="Arial" w:cs="Arial"/>
                <w:noProof/>
                <w:sz w:val="20"/>
                <w:szCs w:val="20"/>
              </w:rPr>
            </w:pPr>
            <w:r w:rsidRPr="000A6ACC">
              <w:rPr>
                <w:rFonts w:ascii="Arial" w:eastAsia="Times New Roman" w:hAnsi="Arial" w:cs="Arial"/>
                <w:noProof/>
                <w:sz w:val="20"/>
                <w:szCs w:val="20"/>
              </w:rPr>
              <w:t xml:space="preserve">Richtwert </w:t>
            </w:r>
            <w:r w:rsidRPr="000A6ACC">
              <w:rPr>
                <w:rFonts w:ascii="Arial" w:eastAsia="Times New Roman" w:hAnsi="Arial" w:cs="Arial"/>
                <w:noProof/>
                <w:sz w:val="20"/>
                <w:szCs w:val="20"/>
              </w:rPr>
              <w:br/>
              <w:t>allgemein</w:t>
            </w:r>
            <w:r w:rsidRPr="000A6ACC">
              <w:rPr>
                <w:rFonts w:ascii="Arial" w:eastAsia="Times New Roman" w:hAnsi="Arial" w:cs="Arial"/>
                <w:noProof/>
                <w:sz w:val="20"/>
                <w:szCs w:val="20"/>
              </w:rPr>
              <w:br/>
              <w:t>6 Monate</w:t>
            </w:r>
          </w:p>
        </w:tc>
        <w:tc>
          <w:tcPr>
            <w:tcW w:w="2551" w:type="dxa"/>
            <w:vAlign w:val="center"/>
          </w:tcPr>
          <w:p w:rsidR="000A6ACC" w:rsidRPr="000A6ACC" w:rsidRDefault="000A6ACC" w:rsidP="000A6ACC">
            <w:pPr>
              <w:spacing w:before="100" w:after="100" w:line="22" w:lineRule="atLeast"/>
              <w:rPr>
                <w:rFonts w:ascii="Arial" w:eastAsia="Times New Roman" w:hAnsi="Arial" w:cs="Arial"/>
                <w:noProof/>
                <w:sz w:val="20"/>
                <w:szCs w:val="20"/>
              </w:rPr>
            </w:pPr>
            <w:r w:rsidRPr="000A6ACC">
              <w:rPr>
                <w:rFonts w:ascii="Arial" w:eastAsia="Times New Roman" w:hAnsi="Arial" w:cs="Arial"/>
                <w:noProof/>
                <w:sz w:val="20"/>
                <w:szCs w:val="20"/>
              </w:rPr>
              <w:t xml:space="preserve">Bei </w:t>
            </w:r>
            <w:r>
              <w:rPr>
                <w:rFonts w:ascii="Arial" w:eastAsia="Times New Roman" w:hAnsi="Arial" w:cs="Arial"/>
                <w:noProof/>
                <w:sz w:val="20"/>
                <w:szCs w:val="20"/>
              </w:rPr>
              <w:t xml:space="preserve">Prüfungen mit Fehlerquote &lt;2 % </w:t>
            </w:r>
            <w:r w:rsidRPr="000A6ACC">
              <w:rPr>
                <w:rFonts w:ascii="Arial" w:eastAsia="Times New Roman" w:hAnsi="Arial" w:cs="Arial"/>
                <w:noProof/>
                <w:sz w:val="20"/>
                <w:szCs w:val="20"/>
              </w:rPr>
              <w:t>Prüffristverlängerung möglich</w:t>
            </w:r>
          </w:p>
        </w:tc>
        <w:tc>
          <w:tcPr>
            <w:tcW w:w="1768" w:type="dxa"/>
            <w:vMerge w:val="restart"/>
            <w:vAlign w:val="center"/>
          </w:tcPr>
          <w:p w:rsidR="000A6ACC" w:rsidRPr="000A6ACC" w:rsidRDefault="000A6ACC" w:rsidP="000A6ACC">
            <w:pPr>
              <w:spacing w:before="100" w:after="100" w:line="480" w:lineRule="auto"/>
              <w:rPr>
                <w:rFonts w:ascii="Arial" w:eastAsia="Times New Roman" w:hAnsi="Arial" w:cs="Arial"/>
                <w:noProof/>
                <w:sz w:val="20"/>
                <w:szCs w:val="20"/>
              </w:rPr>
            </w:pPr>
            <w:r w:rsidRPr="000A6ACC">
              <w:rPr>
                <w:rFonts w:ascii="Arial" w:eastAsia="Times New Roman" w:hAnsi="Arial" w:cs="Arial"/>
                <w:noProof/>
                <w:sz w:val="20"/>
                <w:szCs w:val="20"/>
              </w:rPr>
              <w:t xml:space="preserve">Elektrofachkraft oder </w:t>
            </w:r>
            <w:r w:rsidRPr="000A6ACC">
              <w:rPr>
                <w:rFonts w:ascii="Arial" w:eastAsia="Times New Roman" w:hAnsi="Arial" w:cs="Arial"/>
                <w:noProof/>
                <w:sz w:val="20"/>
                <w:szCs w:val="20"/>
              </w:rPr>
              <w:br/>
              <w:t xml:space="preserve">elektrotechnisch unterwiesene Person unter Verwendung geeigneter Mess- und </w:t>
            </w:r>
            <w:r w:rsidRPr="000A6ACC">
              <w:rPr>
                <w:rFonts w:ascii="Arial" w:eastAsia="Times New Roman" w:hAnsi="Arial" w:cs="Arial"/>
                <w:noProof/>
                <w:sz w:val="20"/>
                <w:szCs w:val="20"/>
              </w:rPr>
              <w:br/>
              <w:t>Prüfgeräte</w:t>
            </w:r>
          </w:p>
        </w:tc>
      </w:tr>
      <w:tr w:rsidR="000A6ACC" w:rsidRPr="000A6ACC" w:rsidTr="000A6ACC">
        <w:trPr>
          <w:cantSplit/>
          <w:trHeight w:val="822"/>
        </w:trPr>
        <w:tc>
          <w:tcPr>
            <w:tcW w:w="3544" w:type="dxa"/>
            <w:vMerge/>
            <w:vAlign w:val="center"/>
          </w:tcPr>
          <w:p w:rsidR="000A6ACC" w:rsidRPr="000A6ACC" w:rsidRDefault="000A6ACC" w:rsidP="000A6ACC">
            <w:pPr>
              <w:numPr>
                <w:ilvl w:val="0"/>
                <w:numId w:val="1"/>
              </w:numPr>
              <w:spacing w:before="100" w:after="100" w:line="22" w:lineRule="atLeast"/>
              <w:rPr>
                <w:rFonts w:ascii="Arial" w:eastAsia="Times New Roman" w:hAnsi="Arial" w:cs="Arial"/>
                <w:noProof/>
                <w:sz w:val="20"/>
                <w:szCs w:val="20"/>
              </w:rPr>
            </w:pPr>
          </w:p>
        </w:tc>
        <w:tc>
          <w:tcPr>
            <w:tcW w:w="1985" w:type="dxa"/>
            <w:vAlign w:val="center"/>
          </w:tcPr>
          <w:p w:rsidR="000A6ACC" w:rsidRPr="000A6ACC" w:rsidRDefault="000A6ACC" w:rsidP="000A6ACC">
            <w:pPr>
              <w:spacing w:before="100" w:after="100" w:line="22" w:lineRule="atLeast"/>
              <w:jc w:val="center"/>
              <w:rPr>
                <w:rFonts w:ascii="Arial" w:eastAsia="Times New Roman" w:hAnsi="Arial" w:cs="Arial"/>
                <w:noProof/>
                <w:sz w:val="20"/>
                <w:szCs w:val="20"/>
              </w:rPr>
            </w:pPr>
            <w:r w:rsidRPr="000A6ACC">
              <w:rPr>
                <w:rFonts w:ascii="Arial" w:eastAsia="Times New Roman" w:hAnsi="Arial" w:cs="Arial"/>
                <w:noProof/>
                <w:sz w:val="20"/>
                <w:szCs w:val="20"/>
              </w:rPr>
              <w:t>1 Jahr</w:t>
            </w:r>
          </w:p>
        </w:tc>
        <w:tc>
          <w:tcPr>
            <w:tcW w:w="2551" w:type="dxa"/>
            <w:vAlign w:val="center"/>
          </w:tcPr>
          <w:p w:rsidR="000A6ACC" w:rsidRPr="000A6ACC" w:rsidRDefault="000A6ACC" w:rsidP="000A6ACC">
            <w:pPr>
              <w:numPr>
                <w:ilvl w:val="0"/>
                <w:numId w:val="2"/>
              </w:numPr>
              <w:tabs>
                <w:tab w:val="num" w:pos="497"/>
              </w:tabs>
              <w:spacing w:before="100" w:after="100" w:line="22" w:lineRule="atLeast"/>
              <w:ind w:left="497" w:hanging="284"/>
              <w:rPr>
                <w:rFonts w:ascii="Arial" w:eastAsia="Times New Roman" w:hAnsi="Arial" w:cs="Arial"/>
                <w:noProof/>
                <w:sz w:val="20"/>
                <w:szCs w:val="20"/>
              </w:rPr>
            </w:pPr>
            <w:r w:rsidRPr="000A6ACC">
              <w:rPr>
                <w:rFonts w:ascii="Arial" w:eastAsia="Times New Roman" w:hAnsi="Arial" w:cs="Arial"/>
                <w:noProof/>
                <w:sz w:val="20"/>
                <w:szCs w:val="20"/>
              </w:rPr>
              <w:t>Fertigungsstätten</w:t>
            </w:r>
          </w:p>
          <w:p w:rsidR="000A6ACC" w:rsidRPr="000A6ACC" w:rsidRDefault="000A6ACC" w:rsidP="000A6ACC">
            <w:pPr>
              <w:numPr>
                <w:ilvl w:val="0"/>
                <w:numId w:val="2"/>
              </w:numPr>
              <w:tabs>
                <w:tab w:val="num" w:pos="497"/>
              </w:tabs>
              <w:spacing w:before="100" w:after="100" w:line="22" w:lineRule="atLeast"/>
              <w:ind w:left="497" w:hanging="284"/>
              <w:rPr>
                <w:rFonts w:ascii="Arial" w:eastAsia="Times New Roman" w:hAnsi="Arial" w:cs="Arial"/>
                <w:noProof/>
                <w:sz w:val="20"/>
                <w:szCs w:val="20"/>
              </w:rPr>
            </w:pPr>
            <w:r w:rsidRPr="000A6ACC">
              <w:rPr>
                <w:rFonts w:ascii="Arial" w:eastAsia="Times New Roman" w:hAnsi="Arial" w:cs="Arial"/>
                <w:noProof/>
                <w:sz w:val="20"/>
                <w:szCs w:val="20"/>
              </w:rPr>
              <w:t>Werkstätten</w:t>
            </w:r>
          </w:p>
          <w:p w:rsidR="000A6ACC" w:rsidRPr="000A6ACC" w:rsidRDefault="000A6ACC" w:rsidP="000A6ACC">
            <w:pPr>
              <w:numPr>
                <w:ilvl w:val="0"/>
                <w:numId w:val="2"/>
              </w:numPr>
              <w:tabs>
                <w:tab w:val="num" w:pos="497"/>
              </w:tabs>
              <w:spacing w:before="100" w:after="100" w:line="22" w:lineRule="atLeast"/>
              <w:ind w:left="497" w:hanging="284"/>
              <w:rPr>
                <w:rFonts w:ascii="Arial" w:eastAsia="Times New Roman" w:hAnsi="Arial" w:cs="Arial"/>
                <w:noProof/>
                <w:sz w:val="20"/>
                <w:szCs w:val="20"/>
              </w:rPr>
            </w:pPr>
            <w:r w:rsidRPr="000A6ACC">
              <w:rPr>
                <w:rFonts w:ascii="Arial" w:eastAsia="Times New Roman" w:hAnsi="Arial" w:cs="Arial"/>
                <w:noProof/>
                <w:sz w:val="20"/>
                <w:szCs w:val="20"/>
              </w:rPr>
              <w:t xml:space="preserve">ähnliche </w:t>
            </w:r>
            <w:r w:rsidRPr="000A6ACC">
              <w:rPr>
                <w:rFonts w:ascii="Arial" w:eastAsia="Times New Roman" w:hAnsi="Arial" w:cs="Arial"/>
                <w:noProof/>
                <w:sz w:val="20"/>
                <w:szCs w:val="20"/>
              </w:rPr>
              <w:br/>
              <w:t>Bedingungen</w:t>
            </w:r>
          </w:p>
        </w:tc>
        <w:tc>
          <w:tcPr>
            <w:tcW w:w="1768" w:type="dxa"/>
            <w:vMerge/>
            <w:vAlign w:val="center"/>
          </w:tcPr>
          <w:p w:rsidR="000A6ACC" w:rsidRPr="000A6ACC" w:rsidRDefault="000A6ACC" w:rsidP="000A6ACC">
            <w:pPr>
              <w:spacing w:before="100" w:after="100" w:line="22" w:lineRule="atLeast"/>
              <w:rPr>
                <w:rFonts w:ascii="Arial" w:eastAsia="Times New Roman" w:hAnsi="Arial" w:cs="Arial"/>
                <w:noProof/>
                <w:sz w:val="20"/>
                <w:szCs w:val="20"/>
              </w:rPr>
            </w:pPr>
          </w:p>
        </w:tc>
      </w:tr>
      <w:tr w:rsidR="000A6ACC" w:rsidRPr="000A6ACC" w:rsidTr="000A6ACC">
        <w:trPr>
          <w:cantSplit/>
          <w:trHeight w:val="876"/>
        </w:trPr>
        <w:tc>
          <w:tcPr>
            <w:tcW w:w="3544" w:type="dxa"/>
            <w:vMerge/>
            <w:vAlign w:val="center"/>
          </w:tcPr>
          <w:p w:rsidR="000A6ACC" w:rsidRPr="000A6ACC" w:rsidRDefault="000A6ACC" w:rsidP="000A6ACC">
            <w:pPr>
              <w:numPr>
                <w:ilvl w:val="0"/>
                <w:numId w:val="1"/>
              </w:numPr>
              <w:spacing w:before="100" w:after="100" w:line="22" w:lineRule="atLeast"/>
              <w:rPr>
                <w:rFonts w:ascii="Arial" w:eastAsia="Times New Roman" w:hAnsi="Arial" w:cs="Arial"/>
                <w:noProof/>
                <w:sz w:val="20"/>
                <w:szCs w:val="20"/>
              </w:rPr>
            </w:pPr>
          </w:p>
        </w:tc>
        <w:tc>
          <w:tcPr>
            <w:tcW w:w="1985" w:type="dxa"/>
            <w:vAlign w:val="center"/>
          </w:tcPr>
          <w:p w:rsidR="000A6ACC" w:rsidRPr="000A6ACC" w:rsidRDefault="000A6ACC" w:rsidP="000A6ACC">
            <w:pPr>
              <w:spacing w:before="100" w:after="100" w:line="22" w:lineRule="atLeast"/>
              <w:jc w:val="center"/>
              <w:rPr>
                <w:rFonts w:ascii="Arial" w:eastAsia="Times New Roman" w:hAnsi="Arial" w:cs="Arial"/>
                <w:noProof/>
                <w:sz w:val="20"/>
                <w:szCs w:val="20"/>
              </w:rPr>
            </w:pPr>
            <w:r w:rsidRPr="000A6ACC">
              <w:rPr>
                <w:rFonts w:ascii="Arial" w:eastAsia="Times New Roman" w:hAnsi="Arial" w:cs="Arial"/>
                <w:noProof/>
                <w:sz w:val="20"/>
                <w:szCs w:val="20"/>
              </w:rPr>
              <w:t>2 Jahre</w:t>
            </w:r>
          </w:p>
        </w:tc>
        <w:tc>
          <w:tcPr>
            <w:tcW w:w="2551" w:type="dxa"/>
            <w:vAlign w:val="center"/>
          </w:tcPr>
          <w:p w:rsidR="000A6ACC" w:rsidRPr="000A6ACC" w:rsidRDefault="000A6ACC" w:rsidP="000A6ACC">
            <w:pPr>
              <w:numPr>
                <w:ilvl w:val="0"/>
                <w:numId w:val="2"/>
              </w:numPr>
              <w:tabs>
                <w:tab w:val="num" w:pos="497"/>
              </w:tabs>
              <w:spacing w:before="100" w:after="100" w:line="22" w:lineRule="atLeast"/>
              <w:ind w:left="497" w:hanging="284"/>
              <w:rPr>
                <w:rFonts w:ascii="Arial" w:eastAsia="Times New Roman" w:hAnsi="Arial" w:cs="Arial"/>
                <w:noProof/>
                <w:sz w:val="20"/>
                <w:szCs w:val="20"/>
              </w:rPr>
            </w:pPr>
            <w:r w:rsidRPr="000A6ACC">
              <w:rPr>
                <w:rFonts w:ascii="Arial" w:eastAsia="Times New Roman" w:hAnsi="Arial" w:cs="Arial"/>
                <w:noProof/>
                <w:sz w:val="20"/>
                <w:szCs w:val="20"/>
              </w:rPr>
              <w:t>Büros</w:t>
            </w:r>
          </w:p>
          <w:p w:rsidR="000A6ACC" w:rsidRPr="000A6ACC" w:rsidRDefault="000A6ACC" w:rsidP="000A6ACC">
            <w:pPr>
              <w:tabs>
                <w:tab w:val="num" w:pos="497"/>
              </w:tabs>
              <w:spacing w:before="100" w:after="100" w:line="22" w:lineRule="atLeast"/>
              <w:ind w:left="497"/>
              <w:rPr>
                <w:rFonts w:ascii="Arial" w:eastAsia="Times New Roman" w:hAnsi="Arial" w:cs="Arial"/>
                <w:noProof/>
                <w:sz w:val="20"/>
                <w:szCs w:val="20"/>
              </w:rPr>
            </w:pPr>
            <w:r w:rsidRPr="000A6ACC">
              <w:rPr>
                <w:rFonts w:ascii="Arial" w:eastAsia="Times New Roman" w:hAnsi="Arial" w:cs="Arial"/>
                <w:noProof/>
                <w:sz w:val="20"/>
                <w:szCs w:val="20"/>
              </w:rPr>
              <w:t xml:space="preserve">ähnliche </w:t>
            </w:r>
            <w:r w:rsidRPr="000A6ACC">
              <w:rPr>
                <w:rFonts w:ascii="Arial" w:eastAsia="Times New Roman" w:hAnsi="Arial" w:cs="Arial"/>
                <w:noProof/>
                <w:sz w:val="20"/>
                <w:szCs w:val="20"/>
              </w:rPr>
              <w:br/>
              <w:t>Bedingungen</w:t>
            </w:r>
          </w:p>
        </w:tc>
        <w:tc>
          <w:tcPr>
            <w:tcW w:w="1768" w:type="dxa"/>
            <w:vMerge/>
            <w:vAlign w:val="center"/>
          </w:tcPr>
          <w:p w:rsidR="000A6ACC" w:rsidRPr="000A6ACC" w:rsidRDefault="000A6ACC" w:rsidP="000A6ACC">
            <w:pPr>
              <w:spacing w:before="100" w:after="100" w:line="22" w:lineRule="atLeast"/>
              <w:rPr>
                <w:rFonts w:ascii="Arial" w:eastAsia="Times New Roman" w:hAnsi="Arial" w:cs="Arial"/>
                <w:noProof/>
                <w:sz w:val="20"/>
                <w:szCs w:val="20"/>
              </w:rPr>
            </w:pPr>
          </w:p>
        </w:tc>
      </w:tr>
      <w:tr w:rsidR="000A6ACC" w:rsidRPr="000A6ACC" w:rsidTr="000A6ACC">
        <w:trPr>
          <w:cantSplit/>
          <w:trHeight w:val="500"/>
        </w:trPr>
        <w:tc>
          <w:tcPr>
            <w:tcW w:w="3544" w:type="dxa"/>
            <w:vMerge/>
            <w:vAlign w:val="center"/>
          </w:tcPr>
          <w:p w:rsidR="000A6ACC" w:rsidRPr="000A6ACC" w:rsidRDefault="000A6ACC" w:rsidP="000A6ACC">
            <w:pPr>
              <w:numPr>
                <w:ilvl w:val="0"/>
                <w:numId w:val="1"/>
              </w:numPr>
              <w:spacing w:before="100" w:after="100" w:line="22" w:lineRule="atLeast"/>
              <w:rPr>
                <w:rFonts w:ascii="Arial" w:eastAsia="Times New Roman" w:hAnsi="Arial" w:cs="Arial"/>
                <w:noProof/>
                <w:sz w:val="20"/>
                <w:szCs w:val="20"/>
              </w:rPr>
            </w:pPr>
          </w:p>
        </w:tc>
        <w:tc>
          <w:tcPr>
            <w:tcW w:w="4536" w:type="dxa"/>
            <w:gridSpan w:val="2"/>
            <w:vAlign w:val="center"/>
          </w:tcPr>
          <w:p w:rsidR="000A6ACC" w:rsidRPr="000A6ACC" w:rsidRDefault="000A6ACC" w:rsidP="000A6ACC">
            <w:pPr>
              <w:spacing w:before="100" w:after="100" w:line="22" w:lineRule="atLeast"/>
              <w:jc w:val="center"/>
              <w:rPr>
                <w:rFonts w:ascii="Arial" w:eastAsia="Times New Roman" w:hAnsi="Arial" w:cs="Arial"/>
                <w:noProof/>
                <w:sz w:val="20"/>
                <w:szCs w:val="20"/>
              </w:rPr>
            </w:pPr>
            <w:r w:rsidRPr="000A6ACC">
              <w:rPr>
                <w:rFonts w:ascii="Arial" w:eastAsia="Times New Roman" w:hAnsi="Arial" w:cs="Arial"/>
                <w:noProof/>
                <w:sz w:val="20"/>
                <w:szCs w:val="20"/>
              </w:rPr>
              <w:t xml:space="preserve">Baustellen </w:t>
            </w:r>
            <w:r w:rsidRPr="000A6ACC">
              <w:rPr>
                <w:rFonts w:ascii="Arial" w:eastAsia="Times New Roman" w:hAnsi="Arial" w:cs="Arial"/>
                <w:noProof/>
                <w:sz w:val="20"/>
                <w:szCs w:val="20"/>
                <w:vertAlign w:val="superscript"/>
              </w:rPr>
              <w:t>1)</w:t>
            </w:r>
          </w:p>
        </w:tc>
        <w:tc>
          <w:tcPr>
            <w:tcW w:w="1768" w:type="dxa"/>
            <w:vMerge/>
            <w:vAlign w:val="center"/>
          </w:tcPr>
          <w:p w:rsidR="000A6ACC" w:rsidRPr="000A6ACC" w:rsidRDefault="000A6ACC" w:rsidP="000A6ACC">
            <w:pPr>
              <w:spacing w:before="100" w:after="100" w:line="22" w:lineRule="atLeast"/>
              <w:rPr>
                <w:rFonts w:ascii="Arial" w:eastAsia="Times New Roman" w:hAnsi="Arial" w:cs="Arial"/>
                <w:noProof/>
                <w:sz w:val="20"/>
                <w:szCs w:val="20"/>
              </w:rPr>
            </w:pPr>
          </w:p>
        </w:tc>
      </w:tr>
      <w:tr w:rsidR="000A6ACC" w:rsidRPr="000A6ACC" w:rsidTr="000A6ACC">
        <w:trPr>
          <w:cantSplit/>
          <w:trHeight w:val="875"/>
        </w:trPr>
        <w:tc>
          <w:tcPr>
            <w:tcW w:w="3544" w:type="dxa"/>
            <w:vMerge/>
            <w:vAlign w:val="center"/>
          </w:tcPr>
          <w:p w:rsidR="000A6ACC" w:rsidRPr="000A6ACC" w:rsidRDefault="000A6ACC" w:rsidP="000A6ACC">
            <w:pPr>
              <w:numPr>
                <w:ilvl w:val="0"/>
                <w:numId w:val="1"/>
              </w:numPr>
              <w:spacing w:before="100" w:after="100" w:line="22" w:lineRule="atLeast"/>
              <w:rPr>
                <w:rFonts w:ascii="Arial" w:eastAsia="Times New Roman" w:hAnsi="Arial" w:cs="Arial"/>
                <w:noProof/>
                <w:sz w:val="20"/>
                <w:szCs w:val="20"/>
              </w:rPr>
            </w:pPr>
          </w:p>
        </w:tc>
        <w:tc>
          <w:tcPr>
            <w:tcW w:w="1985" w:type="dxa"/>
            <w:vAlign w:val="center"/>
          </w:tcPr>
          <w:p w:rsidR="000A6ACC" w:rsidRPr="000A6ACC" w:rsidRDefault="000A6ACC" w:rsidP="000A6ACC">
            <w:pPr>
              <w:spacing w:before="100" w:after="100" w:line="22" w:lineRule="atLeast"/>
              <w:jc w:val="center"/>
              <w:rPr>
                <w:rFonts w:ascii="Arial" w:eastAsia="Times New Roman" w:hAnsi="Arial" w:cs="Arial"/>
                <w:noProof/>
                <w:sz w:val="20"/>
                <w:szCs w:val="20"/>
              </w:rPr>
            </w:pPr>
            <w:r w:rsidRPr="000A6ACC">
              <w:rPr>
                <w:rFonts w:ascii="Arial" w:eastAsia="Times New Roman" w:hAnsi="Arial" w:cs="Arial"/>
                <w:noProof/>
                <w:sz w:val="20"/>
                <w:szCs w:val="20"/>
              </w:rPr>
              <w:t xml:space="preserve">bei hoher </w:t>
            </w:r>
            <w:r w:rsidRPr="000A6ACC">
              <w:rPr>
                <w:rFonts w:ascii="Arial" w:eastAsia="Times New Roman" w:hAnsi="Arial" w:cs="Arial"/>
                <w:noProof/>
                <w:sz w:val="20"/>
                <w:szCs w:val="20"/>
              </w:rPr>
              <w:br/>
              <w:t>Beanspruchung: wöchentlich</w:t>
            </w:r>
          </w:p>
        </w:tc>
        <w:tc>
          <w:tcPr>
            <w:tcW w:w="2551" w:type="dxa"/>
            <w:vAlign w:val="center"/>
          </w:tcPr>
          <w:p w:rsidR="000A6ACC" w:rsidRPr="000A6ACC" w:rsidRDefault="000A6ACC" w:rsidP="000A6ACC">
            <w:pPr>
              <w:spacing w:before="100" w:after="100" w:line="22" w:lineRule="atLeast"/>
              <w:rPr>
                <w:rFonts w:ascii="Arial" w:eastAsia="Times New Roman" w:hAnsi="Arial" w:cs="Arial"/>
                <w:noProof/>
                <w:sz w:val="20"/>
                <w:szCs w:val="20"/>
                <w:highlight w:val="yellow"/>
              </w:rPr>
            </w:pPr>
            <w:r w:rsidRPr="000A6ACC">
              <w:rPr>
                <w:rFonts w:ascii="Arial" w:eastAsia="Times New Roman" w:hAnsi="Arial" w:cs="Arial"/>
                <w:noProof/>
                <w:sz w:val="20"/>
                <w:szCs w:val="20"/>
              </w:rPr>
              <w:t>z.</w:t>
            </w:r>
            <w:r>
              <w:rPr>
                <w:rFonts w:ascii="Arial" w:eastAsia="Times New Roman" w:hAnsi="Arial" w:cs="Arial"/>
                <w:noProof/>
                <w:sz w:val="20"/>
                <w:szCs w:val="20"/>
              </w:rPr>
              <w:t xml:space="preserve"> </w:t>
            </w:r>
            <w:r w:rsidRPr="000A6ACC">
              <w:rPr>
                <w:rFonts w:ascii="Arial" w:eastAsia="Times New Roman" w:hAnsi="Arial" w:cs="Arial"/>
                <w:noProof/>
                <w:sz w:val="20"/>
                <w:szCs w:val="20"/>
              </w:rPr>
              <w:t>B. Schleifen von Metallen (Aluminium, Magnesium, gefettete Bleche), Verwendung in Bereichen mit leitfähigen Stäuben</w:t>
            </w:r>
          </w:p>
        </w:tc>
        <w:tc>
          <w:tcPr>
            <w:tcW w:w="1768" w:type="dxa"/>
            <w:vMerge/>
            <w:vAlign w:val="center"/>
          </w:tcPr>
          <w:p w:rsidR="000A6ACC" w:rsidRPr="000A6ACC" w:rsidRDefault="000A6ACC" w:rsidP="000A6ACC">
            <w:pPr>
              <w:spacing w:before="100" w:after="100" w:line="22" w:lineRule="atLeast"/>
              <w:rPr>
                <w:rFonts w:ascii="Arial" w:eastAsia="Times New Roman" w:hAnsi="Arial" w:cs="Arial"/>
                <w:noProof/>
                <w:sz w:val="20"/>
                <w:szCs w:val="20"/>
              </w:rPr>
            </w:pPr>
          </w:p>
        </w:tc>
      </w:tr>
      <w:tr w:rsidR="000A6ACC" w:rsidRPr="000A6ACC" w:rsidTr="000A6ACC">
        <w:trPr>
          <w:cantSplit/>
          <w:trHeight w:val="875"/>
        </w:trPr>
        <w:tc>
          <w:tcPr>
            <w:tcW w:w="3544" w:type="dxa"/>
            <w:vMerge/>
            <w:vAlign w:val="center"/>
          </w:tcPr>
          <w:p w:rsidR="000A6ACC" w:rsidRPr="000A6ACC" w:rsidRDefault="000A6ACC" w:rsidP="000A6ACC">
            <w:pPr>
              <w:spacing w:before="100" w:after="100" w:line="22" w:lineRule="atLeast"/>
              <w:rPr>
                <w:rFonts w:ascii="Arial" w:eastAsia="Times New Roman" w:hAnsi="Arial" w:cs="Arial"/>
                <w:noProof/>
                <w:sz w:val="20"/>
                <w:szCs w:val="20"/>
              </w:rPr>
            </w:pPr>
          </w:p>
        </w:tc>
        <w:tc>
          <w:tcPr>
            <w:tcW w:w="1985" w:type="dxa"/>
            <w:vAlign w:val="center"/>
          </w:tcPr>
          <w:p w:rsidR="000A6ACC" w:rsidRPr="000A6ACC" w:rsidRDefault="000A6ACC" w:rsidP="000A6ACC">
            <w:pPr>
              <w:spacing w:before="100" w:after="100" w:line="22" w:lineRule="atLeast"/>
              <w:jc w:val="center"/>
              <w:rPr>
                <w:rFonts w:ascii="Arial" w:eastAsia="Times New Roman" w:hAnsi="Arial" w:cs="Arial"/>
                <w:noProof/>
                <w:sz w:val="20"/>
                <w:szCs w:val="20"/>
              </w:rPr>
            </w:pPr>
            <w:r w:rsidRPr="000A6ACC">
              <w:rPr>
                <w:rFonts w:ascii="Arial" w:eastAsia="Times New Roman" w:hAnsi="Arial" w:cs="Arial"/>
                <w:noProof/>
                <w:sz w:val="20"/>
                <w:szCs w:val="20"/>
              </w:rPr>
              <w:t xml:space="preserve">bei hoher </w:t>
            </w:r>
            <w:r w:rsidRPr="000A6ACC">
              <w:rPr>
                <w:rFonts w:ascii="Arial" w:eastAsia="Times New Roman" w:hAnsi="Arial" w:cs="Arial"/>
                <w:noProof/>
                <w:sz w:val="20"/>
                <w:szCs w:val="20"/>
              </w:rPr>
              <w:br/>
              <w:t>Beanspruchung:</w:t>
            </w:r>
            <w:r w:rsidRPr="000A6ACC">
              <w:rPr>
                <w:rFonts w:ascii="Arial" w:eastAsia="Times New Roman" w:hAnsi="Arial" w:cs="Arial"/>
                <w:noProof/>
                <w:sz w:val="20"/>
                <w:szCs w:val="20"/>
              </w:rPr>
              <w:br/>
              <w:t>3 Monate</w:t>
            </w:r>
          </w:p>
        </w:tc>
        <w:tc>
          <w:tcPr>
            <w:tcW w:w="2551" w:type="dxa"/>
            <w:vAlign w:val="center"/>
          </w:tcPr>
          <w:p w:rsidR="000A6ACC" w:rsidRPr="000A6ACC" w:rsidRDefault="000A6ACC" w:rsidP="000A6ACC">
            <w:pPr>
              <w:spacing w:before="100" w:after="100" w:line="22" w:lineRule="atLeast"/>
              <w:rPr>
                <w:rFonts w:ascii="Arial" w:eastAsia="Times New Roman" w:hAnsi="Arial" w:cs="Arial"/>
                <w:noProof/>
                <w:sz w:val="20"/>
                <w:szCs w:val="20"/>
                <w:highlight w:val="yellow"/>
              </w:rPr>
            </w:pPr>
            <w:r w:rsidRPr="000A6ACC">
              <w:rPr>
                <w:rFonts w:ascii="Arial" w:eastAsia="Times New Roman" w:hAnsi="Arial" w:cs="Arial"/>
                <w:noProof/>
                <w:sz w:val="20"/>
                <w:szCs w:val="20"/>
              </w:rPr>
              <w:t>z.</w:t>
            </w:r>
            <w:r>
              <w:rPr>
                <w:rFonts w:ascii="Arial" w:eastAsia="Times New Roman" w:hAnsi="Arial" w:cs="Arial"/>
                <w:noProof/>
                <w:sz w:val="20"/>
                <w:szCs w:val="20"/>
              </w:rPr>
              <w:t xml:space="preserve"> </w:t>
            </w:r>
            <w:r w:rsidRPr="000A6ACC">
              <w:rPr>
                <w:rFonts w:ascii="Arial" w:eastAsia="Times New Roman" w:hAnsi="Arial" w:cs="Arial"/>
                <w:noProof/>
                <w:sz w:val="20"/>
                <w:szCs w:val="20"/>
              </w:rPr>
              <w:t>B. Nassschleifen von nichtleitfähigen Materialien, Kernbohren, Stahlbau, Tunnel- und Stollenbau</w:t>
            </w:r>
          </w:p>
        </w:tc>
        <w:tc>
          <w:tcPr>
            <w:tcW w:w="1768" w:type="dxa"/>
            <w:vMerge/>
            <w:vAlign w:val="center"/>
          </w:tcPr>
          <w:p w:rsidR="000A6ACC" w:rsidRPr="000A6ACC" w:rsidRDefault="000A6ACC" w:rsidP="000A6ACC">
            <w:pPr>
              <w:spacing w:before="100" w:after="100" w:line="22" w:lineRule="atLeast"/>
              <w:rPr>
                <w:rFonts w:ascii="Arial" w:eastAsia="Times New Roman" w:hAnsi="Arial" w:cs="Arial"/>
                <w:noProof/>
                <w:sz w:val="20"/>
                <w:szCs w:val="20"/>
              </w:rPr>
            </w:pPr>
          </w:p>
        </w:tc>
      </w:tr>
      <w:tr w:rsidR="000A6ACC" w:rsidRPr="000A6ACC" w:rsidTr="000A6ACC">
        <w:trPr>
          <w:cantSplit/>
          <w:trHeight w:val="875"/>
        </w:trPr>
        <w:tc>
          <w:tcPr>
            <w:tcW w:w="3544" w:type="dxa"/>
            <w:vMerge/>
            <w:vAlign w:val="center"/>
          </w:tcPr>
          <w:p w:rsidR="000A6ACC" w:rsidRPr="000A6ACC" w:rsidRDefault="000A6ACC" w:rsidP="000A6ACC">
            <w:pPr>
              <w:spacing w:before="100" w:after="100" w:line="22" w:lineRule="atLeast"/>
              <w:rPr>
                <w:rFonts w:ascii="Arial" w:eastAsia="Times New Roman" w:hAnsi="Arial" w:cs="Arial"/>
                <w:noProof/>
                <w:sz w:val="20"/>
                <w:szCs w:val="20"/>
              </w:rPr>
            </w:pPr>
          </w:p>
        </w:tc>
        <w:tc>
          <w:tcPr>
            <w:tcW w:w="1985" w:type="dxa"/>
            <w:vAlign w:val="center"/>
          </w:tcPr>
          <w:p w:rsidR="000A6ACC" w:rsidRPr="000A6ACC" w:rsidRDefault="000A6ACC" w:rsidP="000A6ACC">
            <w:pPr>
              <w:spacing w:before="100" w:after="100" w:line="22" w:lineRule="atLeast"/>
              <w:jc w:val="center"/>
              <w:rPr>
                <w:rFonts w:ascii="Arial" w:eastAsia="Times New Roman" w:hAnsi="Arial" w:cs="Arial"/>
                <w:noProof/>
                <w:sz w:val="20"/>
                <w:szCs w:val="20"/>
              </w:rPr>
            </w:pPr>
            <w:r w:rsidRPr="000A6ACC">
              <w:rPr>
                <w:rFonts w:ascii="Arial" w:eastAsia="Times New Roman" w:hAnsi="Arial" w:cs="Arial"/>
                <w:noProof/>
                <w:sz w:val="20"/>
                <w:szCs w:val="20"/>
              </w:rPr>
              <w:t xml:space="preserve">bei normaler </w:t>
            </w:r>
            <w:r w:rsidRPr="000A6ACC">
              <w:rPr>
                <w:rFonts w:ascii="Arial" w:eastAsia="Times New Roman" w:hAnsi="Arial" w:cs="Arial"/>
                <w:noProof/>
                <w:sz w:val="20"/>
                <w:szCs w:val="20"/>
              </w:rPr>
              <w:br/>
              <w:t>Beanspruchung:</w:t>
            </w:r>
            <w:r w:rsidRPr="000A6ACC">
              <w:rPr>
                <w:rFonts w:ascii="Arial" w:eastAsia="Times New Roman" w:hAnsi="Arial" w:cs="Arial"/>
                <w:noProof/>
                <w:sz w:val="20"/>
                <w:szCs w:val="20"/>
              </w:rPr>
              <w:br/>
              <w:t>6 Monate</w:t>
            </w:r>
          </w:p>
        </w:tc>
        <w:tc>
          <w:tcPr>
            <w:tcW w:w="2551" w:type="dxa"/>
            <w:vAlign w:val="center"/>
          </w:tcPr>
          <w:p w:rsidR="000A6ACC" w:rsidRPr="000A6ACC" w:rsidRDefault="000A6ACC" w:rsidP="000A6ACC">
            <w:pPr>
              <w:spacing w:before="100" w:after="100" w:line="22" w:lineRule="atLeast"/>
              <w:rPr>
                <w:rFonts w:ascii="Arial" w:eastAsia="Times New Roman" w:hAnsi="Arial" w:cs="Arial"/>
                <w:noProof/>
                <w:sz w:val="20"/>
                <w:szCs w:val="20"/>
                <w:highlight w:val="yellow"/>
              </w:rPr>
            </w:pPr>
            <w:r w:rsidRPr="000A6ACC">
              <w:rPr>
                <w:rFonts w:ascii="Arial" w:eastAsia="Times New Roman" w:hAnsi="Arial" w:cs="Arial"/>
                <w:noProof/>
                <w:sz w:val="20"/>
                <w:szCs w:val="20"/>
              </w:rPr>
              <w:t>z.</w:t>
            </w:r>
            <w:r>
              <w:rPr>
                <w:rFonts w:ascii="Arial" w:eastAsia="Times New Roman" w:hAnsi="Arial" w:cs="Arial"/>
                <w:noProof/>
                <w:sz w:val="20"/>
                <w:szCs w:val="20"/>
              </w:rPr>
              <w:t xml:space="preserve"> </w:t>
            </w:r>
            <w:r w:rsidRPr="000A6ACC">
              <w:rPr>
                <w:rFonts w:ascii="Arial" w:eastAsia="Times New Roman" w:hAnsi="Arial" w:cs="Arial"/>
                <w:noProof/>
                <w:sz w:val="20"/>
                <w:szCs w:val="20"/>
              </w:rPr>
              <w:t>B. Hochbau, allgemeiner Tiefbau</w:t>
            </w:r>
          </w:p>
        </w:tc>
        <w:tc>
          <w:tcPr>
            <w:tcW w:w="1768" w:type="dxa"/>
            <w:vMerge/>
            <w:vAlign w:val="center"/>
          </w:tcPr>
          <w:p w:rsidR="000A6ACC" w:rsidRPr="000A6ACC" w:rsidRDefault="000A6ACC" w:rsidP="000A6ACC">
            <w:pPr>
              <w:spacing w:before="100" w:after="100" w:line="22" w:lineRule="atLeast"/>
              <w:rPr>
                <w:rFonts w:ascii="Arial" w:eastAsia="Times New Roman" w:hAnsi="Arial" w:cs="Arial"/>
                <w:noProof/>
                <w:sz w:val="20"/>
                <w:szCs w:val="20"/>
              </w:rPr>
            </w:pPr>
          </w:p>
        </w:tc>
      </w:tr>
      <w:tr w:rsidR="000A6ACC" w:rsidRPr="000A6ACC" w:rsidTr="000A6ACC">
        <w:trPr>
          <w:cantSplit/>
          <w:trHeight w:val="875"/>
        </w:trPr>
        <w:tc>
          <w:tcPr>
            <w:tcW w:w="3544" w:type="dxa"/>
            <w:vMerge/>
            <w:tcBorders>
              <w:bottom w:val="single" w:sz="4" w:space="0" w:color="auto"/>
            </w:tcBorders>
            <w:vAlign w:val="center"/>
          </w:tcPr>
          <w:p w:rsidR="000A6ACC" w:rsidRPr="000A6ACC" w:rsidRDefault="000A6ACC" w:rsidP="000A6ACC">
            <w:pPr>
              <w:spacing w:before="100" w:after="100" w:line="22" w:lineRule="atLeast"/>
              <w:rPr>
                <w:rFonts w:ascii="Arial" w:eastAsia="Times New Roman" w:hAnsi="Arial" w:cs="Arial"/>
                <w:noProof/>
                <w:sz w:val="20"/>
                <w:szCs w:val="20"/>
              </w:rPr>
            </w:pPr>
          </w:p>
        </w:tc>
        <w:tc>
          <w:tcPr>
            <w:tcW w:w="1985" w:type="dxa"/>
            <w:tcBorders>
              <w:bottom w:val="single" w:sz="4" w:space="0" w:color="auto"/>
            </w:tcBorders>
            <w:vAlign w:val="center"/>
          </w:tcPr>
          <w:p w:rsidR="000A6ACC" w:rsidRPr="000A6ACC" w:rsidRDefault="000A6ACC" w:rsidP="000A6ACC">
            <w:pPr>
              <w:spacing w:before="100" w:after="100" w:line="22" w:lineRule="atLeast"/>
              <w:jc w:val="center"/>
              <w:rPr>
                <w:rFonts w:ascii="Arial" w:eastAsia="Times New Roman" w:hAnsi="Arial" w:cs="Arial"/>
                <w:noProof/>
                <w:sz w:val="20"/>
                <w:szCs w:val="20"/>
              </w:rPr>
            </w:pPr>
            <w:r w:rsidRPr="000A6ACC">
              <w:rPr>
                <w:rFonts w:ascii="Arial" w:eastAsia="Times New Roman" w:hAnsi="Arial" w:cs="Arial"/>
                <w:noProof/>
                <w:sz w:val="20"/>
                <w:szCs w:val="20"/>
              </w:rPr>
              <w:t xml:space="preserve">bei normaler </w:t>
            </w:r>
            <w:r w:rsidRPr="000A6ACC">
              <w:rPr>
                <w:rFonts w:ascii="Arial" w:eastAsia="Times New Roman" w:hAnsi="Arial" w:cs="Arial"/>
                <w:noProof/>
                <w:sz w:val="20"/>
                <w:szCs w:val="20"/>
              </w:rPr>
              <w:br/>
              <w:t>Beanspruchung:</w:t>
            </w:r>
            <w:r w:rsidRPr="000A6ACC">
              <w:rPr>
                <w:rFonts w:ascii="Arial" w:eastAsia="Times New Roman" w:hAnsi="Arial" w:cs="Arial"/>
                <w:noProof/>
                <w:sz w:val="20"/>
                <w:szCs w:val="20"/>
              </w:rPr>
              <w:br/>
              <w:t>6 Monate</w:t>
            </w:r>
          </w:p>
        </w:tc>
        <w:tc>
          <w:tcPr>
            <w:tcW w:w="2551" w:type="dxa"/>
            <w:tcBorders>
              <w:bottom w:val="single" w:sz="4" w:space="0" w:color="auto"/>
            </w:tcBorders>
            <w:vAlign w:val="center"/>
          </w:tcPr>
          <w:p w:rsidR="000A6ACC" w:rsidRPr="000A6ACC" w:rsidRDefault="000A6ACC" w:rsidP="000A6ACC">
            <w:pPr>
              <w:spacing w:before="100" w:after="100" w:line="22" w:lineRule="atLeast"/>
              <w:rPr>
                <w:rFonts w:ascii="Arial" w:eastAsia="Times New Roman" w:hAnsi="Arial" w:cs="Arial"/>
                <w:noProof/>
                <w:sz w:val="20"/>
                <w:szCs w:val="20"/>
                <w:highlight w:val="yellow"/>
              </w:rPr>
            </w:pPr>
            <w:r w:rsidRPr="000A6ACC">
              <w:rPr>
                <w:rFonts w:ascii="Arial" w:eastAsia="Times New Roman" w:hAnsi="Arial" w:cs="Arial"/>
                <w:noProof/>
                <w:sz w:val="20"/>
                <w:szCs w:val="20"/>
              </w:rPr>
              <w:t>Elektroinstallation, Sanitär- und Heizungsbau, Holzbau</w:t>
            </w:r>
          </w:p>
        </w:tc>
        <w:tc>
          <w:tcPr>
            <w:tcW w:w="1768" w:type="dxa"/>
            <w:vMerge/>
            <w:tcBorders>
              <w:bottom w:val="single" w:sz="4" w:space="0" w:color="auto"/>
            </w:tcBorders>
            <w:vAlign w:val="center"/>
          </w:tcPr>
          <w:p w:rsidR="000A6ACC" w:rsidRPr="000A6ACC" w:rsidRDefault="000A6ACC" w:rsidP="000A6ACC">
            <w:pPr>
              <w:spacing w:before="100" w:after="100" w:line="22" w:lineRule="atLeast"/>
              <w:rPr>
                <w:rFonts w:ascii="Arial" w:eastAsia="Times New Roman" w:hAnsi="Arial" w:cs="Arial"/>
                <w:noProof/>
                <w:sz w:val="20"/>
                <w:szCs w:val="20"/>
              </w:rPr>
            </w:pPr>
          </w:p>
        </w:tc>
      </w:tr>
    </w:tbl>
    <w:p w:rsidR="000A6ACC" w:rsidRDefault="000A6ACC" w:rsidP="000A6ACC">
      <w:pPr>
        <w:spacing w:after="0" w:line="276" w:lineRule="auto"/>
        <w:ind w:left="142"/>
        <w:jc w:val="both"/>
        <w:rPr>
          <w:rFonts w:ascii="Arial" w:hAnsi="Arial" w:cs="Arial"/>
          <w:sz w:val="20"/>
          <w:szCs w:val="20"/>
        </w:rPr>
      </w:pPr>
    </w:p>
    <w:p w:rsidR="000A6ACC" w:rsidRDefault="000A6ACC" w:rsidP="000A6ACC">
      <w:pPr>
        <w:spacing w:after="0" w:line="276" w:lineRule="auto"/>
        <w:ind w:left="142"/>
        <w:jc w:val="both"/>
        <w:rPr>
          <w:rFonts w:ascii="Arial" w:hAnsi="Arial" w:cs="Arial"/>
          <w:sz w:val="20"/>
          <w:szCs w:val="20"/>
        </w:rPr>
      </w:pPr>
    </w:p>
    <w:p w:rsidR="000A6ACC" w:rsidRPr="000A6ACC" w:rsidRDefault="000A6ACC" w:rsidP="000A6ACC">
      <w:pPr>
        <w:spacing w:after="0" w:line="276" w:lineRule="auto"/>
        <w:ind w:left="142"/>
        <w:jc w:val="both"/>
        <w:rPr>
          <w:rFonts w:ascii="Arial" w:hAnsi="Arial" w:cs="Arial"/>
          <w:sz w:val="20"/>
          <w:szCs w:val="20"/>
        </w:rPr>
      </w:pPr>
      <w:r w:rsidRPr="000A6ACC">
        <w:rPr>
          <w:rFonts w:ascii="Arial" w:hAnsi="Arial" w:cs="Arial"/>
          <w:sz w:val="20"/>
          <w:szCs w:val="20"/>
        </w:rPr>
        <w:t>Die obige Tabelle enthält Richtwerte, die als ausreichende Fristen angesehen werden können, solange die Fehlerquote 2 % nicht übersteigt. Diese Prüffristen gelten zudem für Geräte, die unter normalen Beanspruchungen zum Einsatz kommen. Sind die Belastungen durch Temperatur, Staub, Feuchtigkeit o. Ä. Umgebungseinflüsse erhöht, so sollten die Fristen zur Prüfung derart belasteter Anlagen und Betriebsmittel verkürzt werden.</w:t>
      </w:r>
    </w:p>
    <w:p w:rsidR="000A6ACC" w:rsidRDefault="000A6ACC" w:rsidP="000A6ACC">
      <w:pPr>
        <w:spacing w:after="0" w:line="276" w:lineRule="auto"/>
        <w:ind w:left="142"/>
        <w:jc w:val="both"/>
        <w:rPr>
          <w:rFonts w:ascii="Arial" w:hAnsi="Arial" w:cs="Arial"/>
          <w:sz w:val="20"/>
          <w:szCs w:val="20"/>
        </w:rPr>
      </w:pPr>
    </w:p>
    <w:p w:rsidR="000A6ACC" w:rsidRDefault="000A6ACC" w:rsidP="000A6ACC">
      <w:pPr>
        <w:spacing w:after="0" w:line="276" w:lineRule="auto"/>
        <w:ind w:left="142"/>
        <w:jc w:val="both"/>
        <w:rPr>
          <w:rFonts w:ascii="Arial" w:hAnsi="Arial" w:cs="Arial"/>
          <w:sz w:val="20"/>
          <w:szCs w:val="20"/>
        </w:rPr>
      </w:pPr>
    </w:p>
    <w:p w:rsidR="000A6ACC" w:rsidRDefault="000A6ACC" w:rsidP="000A6ACC">
      <w:pPr>
        <w:spacing w:after="0" w:line="276" w:lineRule="auto"/>
        <w:ind w:left="142"/>
        <w:jc w:val="both"/>
        <w:rPr>
          <w:rFonts w:ascii="Arial" w:hAnsi="Arial" w:cs="Arial"/>
          <w:sz w:val="20"/>
          <w:szCs w:val="20"/>
        </w:rPr>
      </w:pPr>
    </w:p>
    <w:p w:rsidR="000A6ACC" w:rsidRDefault="000A6ACC" w:rsidP="000A6ACC">
      <w:pPr>
        <w:spacing w:after="0" w:line="276" w:lineRule="auto"/>
        <w:ind w:left="142"/>
        <w:jc w:val="both"/>
        <w:rPr>
          <w:rFonts w:ascii="Arial" w:hAnsi="Arial" w:cs="Arial"/>
          <w:sz w:val="20"/>
          <w:szCs w:val="20"/>
        </w:rPr>
      </w:pPr>
    </w:p>
    <w:p w:rsidR="000A6ACC" w:rsidRPr="000A6ACC" w:rsidRDefault="000A6ACC" w:rsidP="000A6ACC">
      <w:pPr>
        <w:spacing w:after="0" w:line="276" w:lineRule="auto"/>
        <w:ind w:left="142"/>
        <w:jc w:val="both"/>
        <w:rPr>
          <w:rFonts w:ascii="Arial" w:hAnsi="Arial" w:cs="Arial"/>
          <w:sz w:val="20"/>
          <w:szCs w:val="20"/>
        </w:rPr>
      </w:pPr>
    </w:p>
    <w:p w:rsidR="000A6ACC" w:rsidRPr="000A6ACC" w:rsidRDefault="000A6ACC" w:rsidP="000A6ACC">
      <w:pPr>
        <w:spacing w:after="0" w:line="276" w:lineRule="auto"/>
        <w:ind w:left="426" w:hanging="284"/>
        <w:jc w:val="both"/>
        <w:rPr>
          <w:rFonts w:ascii="Arial" w:hAnsi="Arial" w:cs="Arial"/>
          <w:sz w:val="16"/>
          <w:szCs w:val="20"/>
        </w:rPr>
      </w:pPr>
      <w:r w:rsidRPr="000A6ACC">
        <w:rPr>
          <w:rFonts w:ascii="Arial" w:hAnsi="Arial" w:cs="Arial"/>
          <w:sz w:val="16"/>
          <w:szCs w:val="20"/>
          <w:vertAlign w:val="superscript"/>
        </w:rPr>
        <w:t>1)</w:t>
      </w:r>
      <w:r w:rsidRPr="000A6ACC">
        <w:rPr>
          <w:rFonts w:ascii="Arial" w:hAnsi="Arial" w:cs="Arial"/>
          <w:sz w:val="16"/>
          <w:szCs w:val="20"/>
        </w:rPr>
        <w:tab/>
        <w:t>Genaue Erläuterungen finden Sie in der DGUV Information 203-006: „Regeln für Sicherheit und Gesundheitsschutz – Auswahl und Betrieb elektrischer Anlagen und Betriebsmittel auf Baustellen“</w:t>
      </w:r>
      <w:bookmarkStart w:id="0" w:name="_GoBack"/>
      <w:bookmarkEnd w:id="0"/>
    </w:p>
    <w:sectPr w:rsidR="000A6ACC" w:rsidRPr="000A6ACC" w:rsidSect="000A6ACC">
      <w:footerReference w:type="even" r:id="rId5"/>
      <w:footerReference w:type="default" r:id="rId6"/>
      <w:pgSz w:w="11906" w:h="16838" w:code="9"/>
      <w:pgMar w:top="1135" w:right="1416" w:bottom="1134" w:left="851" w:header="720" w:footer="39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C45" w:rsidRDefault="000A6AC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3E6C45" w:rsidRDefault="000A6AC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C45" w:rsidRDefault="000A6ACC" w:rsidP="001A40E4">
    <w:pPr>
      <w:pStyle w:val="Fuzeile"/>
      <w:ind w:right="360"/>
      <w:rPr>
        <w:noProof/>
        <w:sz w:val="14"/>
      </w:rP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E7682"/>
    <w:multiLevelType w:val="hybridMultilevel"/>
    <w:tmpl w:val="FB40678A"/>
    <w:lvl w:ilvl="0" w:tplc="29F28DB0">
      <w:start w:val="1"/>
      <w:numFmt w:val="bullet"/>
      <w:lvlText w:val=""/>
      <w:lvlJc w:val="left"/>
      <w:pPr>
        <w:tabs>
          <w:tab w:val="num" w:pos="720"/>
        </w:tabs>
        <w:ind w:left="720" w:hanging="360"/>
      </w:pPr>
      <w:rPr>
        <w:rFonts w:ascii="Wingdings" w:hAnsi="Wingdings" w:hint="default"/>
      </w:rPr>
    </w:lvl>
    <w:lvl w:ilvl="1" w:tplc="714E1CDC" w:tentative="1">
      <w:start w:val="1"/>
      <w:numFmt w:val="bullet"/>
      <w:lvlText w:val="o"/>
      <w:lvlJc w:val="left"/>
      <w:pPr>
        <w:tabs>
          <w:tab w:val="num" w:pos="1440"/>
        </w:tabs>
        <w:ind w:left="1440" w:hanging="360"/>
      </w:pPr>
      <w:rPr>
        <w:rFonts w:ascii="Courier New" w:hAnsi="Courier New" w:hint="default"/>
      </w:rPr>
    </w:lvl>
    <w:lvl w:ilvl="2" w:tplc="87BA88D0" w:tentative="1">
      <w:start w:val="1"/>
      <w:numFmt w:val="bullet"/>
      <w:lvlText w:val=""/>
      <w:lvlJc w:val="left"/>
      <w:pPr>
        <w:tabs>
          <w:tab w:val="num" w:pos="2160"/>
        </w:tabs>
        <w:ind w:left="2160" w:hanging="360"/>
      </w:pPr>
      <w:rPr>
        <w:rFonts w:ascii="Wingdings" w:hAnsi="Wingdings" w:hint="default"/>
      </w:rPr>
    </w:lvl>
    <w:lvl w:ilvl="3" w:tplc="08C49DF6" w:tentative="1">
      <w:start w:val="1"/>
      <w:numFmt w:val="bullet"/>
      <w:lvlText w:val=""/>
      <w:lvlJc w:val="left"/>
      <w:pPr>
        <w:tabs>
          <w:tab w:val="num" w:pos="2880"/>
        </w:tabs>
        <w:ind w:left="2880" w:hanging="360"/>
      </w:pPr>
      <w:rPr>
        <w:rFonts w:ascii="Symbol" w:hAnsi="Symbol" w:hint="default"/>
      </w:rPr>
    </w:lvl>
    <w:lvl w:ilvl="4" w:tplc="8706783E" w:tentative="1">
      <w:start w:val="1"/>
      <w:numFmt w:val="bullet"/>
      <w:lvlText w:val="o"/>
      <w:lvlJc w:val="left"/>
      <w:pPr>
        <w:tabs>
          <w:tab w:val="num" w:pos="3600"/>
        </w:tabs>
        <w:ind w:left="3600" w:hanging="360"/>
      </w:pPr>
      <w:rPr>
        <w:rFonts w:ascii="Courier New" w:hAnsi="Courier New" w:hint="default"/>
      </w:rPr>
    </w:lvl>
    <w:lvl w:ilvl="5" w:tplc="6A70A9AC" w:tentative="1">
      <w:start w:val="1"/>
      <w:numFmt w:val="bullet"/>
      <w:lvlText w:val=""/>
      <w:lvlJc w:val="left"/>
      <w:pPr>
        <w:tabs>
          <w:tab w:val="num" w:pos="4320"/>
        </w:tabs>
        <w:ind w:left="4320" w:hanging="360"/>
      </w:pPr>
      <w:rPr>
        <w:rFonts w:ascii="Wingdings" w:hAnsi="Wingdings" w:hint="default"/>
      </w:rPr>
    </w:lvl>
    <w:lvl w:ilvl="6" w:tplc="AA18D1E2" w:tentative="1">
      <w:start w:val="1"/>
      <w:numFmt w:val="bullet"/>
      <w:lvlText w:val=""/>
      <w:lvlJc w:val="left"/>
      <w:pPr>
        <w:tabs>
          <w:tab w:val="num" w:pos="5040"/>
        </w:tabs>
        <w:ind w:left="5040" w:hanging="360"/>
      </w:pPr>
      <w:rPr>
        <w:rFonts w:ascii="Symbol" w:hAnsi="Symbol" w:hint="default"/>
      </w:rPr>
    </w:lvl>
    <w:lvl w:ilvl="7" w:tplc="8C2E4ED6" w:tentative="1">
      <w:start w:val="1"/>
      <w:numFmt w:val="bullet"/>
      <w:lvlText w:val="o"/>
      <w:lvlJc w:val="left"/>
      <w:pPr>
        <w:tabs>
          <w:tab w:val="num" w:pos="5760"/>
        </w:tabs>
        <w:ind w:left="5760" w:hanging="360"/>
      </w:pPr>
      <w:rPr>
        <w:rFonts w:ascii="Courier New" w:hAnsi="Courier New" w:hint="default"/>
      </w:rPr>
    </w:lvl>
    <w:lvl w:ilvl="8" w:tplc="FFCE0DD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64C0098"/>
    <w:multiLevelType w:val="hybridMultilevel"/>
    <w:tmpl w:val="0ACEDB78"/>
    <w:lvl w:ilvl="0" w:tplc="DC94C94A">
      <w:start w:val="1"/>
      <w:numFmt w:val="decimal"/>
      <w:lvlText w:val="%1."/>
      <w:lvlJc w:val="left"/>
      <w:pPr>
        <w:tabs>
          <w:tab w:val="num" w:pos="360"/>
        </w:tabs>
        <w:ind w:left="360" w:hanging="360"/>
      </w:pPr>
    </w:lvl>
    <w:lvl w:ilvl="1" w:tplc="BD6ED9C2">
      <w:start w:val="1"/>
      <w:numFmt w:val="lowerLetter"/>
      <w:lvlText w:val="%2."/>
      <w:lvlJc w:val="left"/>
      <w:pPr>
        <w:tabs>
          <w:tab w:val="num" w:pos="1080"/>
        </w:tabs>
        <w:ind w:left="1080" w:hanging="360"/>
      </w:pPr>
    </w:lvl>
    <w:lvl w:ilvl="2" w:tplc="75BC1FE6" w:tentative="1">
      <w:start w:val="1"/>
      <w:numFmt w:val="lowerRoman"/>
      <w:lvlText w:val="%3."/>
      <w:lvlJc w:val="right"/>
      <w:pPr>
        <w:tabs>
          <w:tab w:val="num" w:pos="1800"/>
        </w:tabs>
        <w:ind w:left="1800" w:hanging="180"/>
      </w:pPr>
    </w:lvl>
    <w:lvl w:ilvl="3" w:tplc="337A18C0" w:tentative="1">
      <w:start w:val="1"/>
      <w:numFmt w:val="decimal"/>
      <w:lvlText w:val="%4."/>
      <w:lvlJc w:val="left"/>
      <w:pPr>
        <w:tabs>
          <w:tab w:val="num" w:pos="2520"/>
        </w:tabs>
        <w:ind w:left="2520" w:hanging="360"/>
      </w:pPr>
    </w:lvl>
    <w:lvl w:ilvl="4" w:tplc="E3084E68" w:tentative="1">
      <w:start w:val="1"/>
      <w:numFmt w:val="lowerLetter"/>
      <w:lvlText w:val="%5."/>
      <w:lvlJc w:val="left"/>
      <w:pPr>
        <w:tabs>
          <w:tab w:val="num" w:pos="3240"/>
        </w:tabs>
        <w:ind w:left="3240" w:hanging="360"/>
      </w:pPr>
    </w:lvl>
    <w:lvl w:ilvl="5" w:tplc="45D68050" w:tentative="1">
      <w:start w:val="1"/>
      <w:numFmt w:val="lowerRoman"/>
      <w:lvlText w:val="%6."/>
      <w:lvlJc w:val="right"/>
      <w:pPr>
        <w:tabs>
          <w:tab w:val="num" w:pos="3960"/>
        </w:tabs>
        <w:ind w:left="3960" w:hanging="180"/>
      </w:pPr>
    </w:lvl>
    <w:lvl w:ilvl="6" w:tplc="FB9E6928" w:tentative="1">
      <w:start w:val="1"/>
      <w:numFmt w:val="decimal"/>
      <w:lvlText w:val="%7."/>
      <w:lvlJc w:val="left"/>
      <w:pPr>
        <w:tabs>
          <w:tab w:val="num" w:pos="4680"/>
        </w:tabs>
        <w:ind w:left="4680" w:hanging="360"/>
      </w:pPr>
    </w:lvl>
    <w:lvl w:ilvl="7" w:tplc="95B00F10" w:tentative="1">
      <w:start w:val="1"/>
      <w:numFmt w:val="lowerLetter"/>
      <w:lvlText w:val="%8."/>
      <w:lvlJc w:val="left"/>
      <w:pPr>
        <w:tabs>
          <w:tab w:val="num" w:pos="5400"/>
        </w:tabs>
        <w:ind w:left="5400" w:hanging="360"/>
      </w:pPr>
    </w:lvl>
    <w:lvl w:ilvl="8" w:tplc="2E1E7DEC"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ACC"/>
    <w:rsid w:val="000A6ACC"/>
    <w:rsid w:val="00270387"/>
    <w:rsid w:val="00843EE6"/>
    <w:rsid w:val="00955D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9A6FF"/>
  <w15:chartTrackingRefBased/>
  <w15:docId w15:val="{75664DF3-4D02-458D-9F02-38833BBBE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0A6ACC"/>
    <w:pPr>
      <w:tabs>
        <w:tab w:val="center" w:pos="4536"/>
        <w:tab w:val="right" w:pos="9072"/>
      </w:tabs>
      <w:spacing w:after="0" w:line="240" w:lineRule="auto"/>
    </w:pPr>
    <w:rPr>
      <w:rFonts w:ascii="Arial" w:eastAsia="Times New Roman" w:hAnsi="Arial" w:cs="Times New Roman"/>
      <w:szCs w:val="20"/>
    </w:rPr>
  </w:style>
  <w:style w:type="character" w:customStyle="1" w:styleId="FuzeileZchn">
    <w:name w:val="Fußzeile Zchn"/>
    <w:basedOn w:val="Absatz-Standardschriftart"/>
    <w:link w:val="Fuzeile"/>
    <w:semiHidden/>
    <w:rsid w:val="000A6ACC"/>
    <w:rPr>
      <w:rFonts w:ascii="Arial" w:eastAsia="Times New Roman" w:hAnsi="Arial" w:cs="Times New Roman"/>
      <w:szCs w:val="20"/>
    </w:rPr>
  </w:style>
  <w:style w:type="character" w:styleId="Seitenzahl">
    <w:name w:val="page number"/>
    <w:basedOn w:val="Absatz-Standardschriftart"/>
    <w:semiHidden/>
    <w:rsid w:val="000A6ACC"/>
  </w:style>
  <w:style w:type="character" w:styleId="IntensiveHervorhebung">
    <w:name w:val="Intense Emphasis"/>
    <w:basedOn w:val="Absatz-Standardschriftart"/>
    <w:uiPriority w:val="21"/>
    <w:qFormat/>
    <w:rsid w:val="000A6ACC"/>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1626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Herling</dc:creator>
  <cp:keywords/>
  <dc:description/>
  <cp:lastModifiedBy>Daniela Herling</cp:lastModifiedBy>
  <cp:revision>1</cp:revision>
  <dcterms:created xsi:type="dcterms:W3CDTF">2019-08-09T09:44:00Z</dcterms:created>
  <dcterms:modified xsi:type="dcterms:W3CDTF">2019-08-09T09:48:00Z</dcterms:modified>
</cp:coreProperties>
</file>