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982"/>
        <w:gridCol w:w="1134"/>
        <w:gridCol w:w="851"/>
        <w:gridCol w:w="425"/>
        <w:gridCol w:w="993"/>
        <w:gridCol w:w="424"/>
        <w:gridCol w:w="996"/>
        <w:gridCol w:w="162"/>
        <w:gridCol w:w="687"/>
        <w:gridCol w:w="996"/>
      </w:tblGrid>
      <w:tr w:rsidR="000A7FBC">
        <w:trPr>
          <w:trHeight w:val="253"/>
        </w:trPr>
        <w:tc>
          <w:tcPr>
            <w:tcW w:w="738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BC" w:rsidRDefault="00794734" w:rsidP="000D32CE">
            <w:pPr>
              <w:spacing w:before="120" w:after="12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Explosionsschutz-Dokument nach § 6 </w:t>
            </w:r>
            <w:r w:rsidR="000D32CE">
              <w:rPr>
                <w:b/>
                <w:bCs/>
                <w:sz w:val="24"/>
              </w:rPr>
              <w:t>Abs. 9 GefStoffV</w:t>
            </w:r>
            <w:r>
              <w:rPr>
                <w:b/>
                <w:bCs/>
                <w:sz w:val="24"/>
              </w:rPr>
              <w:tab/>
            </w:r>
          </w:p>
        </w:tc>
        <w:tc>
          <w:tcPr>
            <w:tcW w:w="16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z w:val="20"/>
              </w:rPr>
              <w:br/>
            </w:r>
          </w:p>
        </w:tc>
      </w:tr>
      <w:tr w:rsidR="000A7FBC">
        <w:trPr>
          <w:cantSplit/>
          <w:trHeight w:val="182"/>
        </w:trPr>
        <w:tc>
          <w:tcPr>
            <w:tcW w:w="580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Anlage:</w:t>
            </w:r>
          </w:p>
        </w:tc>
        <w:tc>
          <w:tcPr>
            <w:tcW w:w="1582" w:type="dxa"/>
            <w:gridSpan w:val="3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Notfall-Telefon: </w:t>
            </w:r>
          </w:p>
        </w:tc>
        <w:tc>
          <w:tcPr>
            <w:tcW w:w="168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0A7FBC">
        <w:trPr>
          <w:cantSplit/>
          <w:trHeight w:val="534"/>
        </w:trPr>
        <w:tc>
          <w:tcPr>
            <w:tcW w:w="9072" w:type="dxa"/>
            <w:gridSpan w:val="11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Gebäude / Raum:</w:t>
            </w:r>
          </w:p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92"/>
        </w:trPr>
        <w:tc>
          <w:tcPr>
            <w:tcW w:w="907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FBC" w:rsidRDefault="00794734">
            <w:pPr>
              <w:spacing w:before="20" w:after="20" w:line="240" w:lineRule="auto"/>
              <w:rPr>
                <w:sz w:val="16"/>
              </w:rPr>
            </w:pPr>
            <w:r>
              <w:rPr>
                <w:sz w:val="16"/>
              </w:rPr>
              <w:t>(z. B. Verweis auf Lageplan, Gebäudeplan, Aufstellungsplan, Flucht- und Rettungsplan)</w:t>
            </w:r>
          </w:p>
        </w:tc>
      </w:tr>
      <w:tr w:rsidR="000A7FBC">
        <w:trPr>
          <w:cantSplit/>
          <w:trHeight w:val="195"/>
        </w:trPr>
        <w:tc>
          <w:tcPr>
            <w:tcW w:w="9072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A7FBC" w:rsidRDefault="0079473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Arbeitsschritte bzw. Tätigkeiten</w:t>
            </w:r>
          </w:p>
        </w:tc>
      </w:tr>
      <w:tr w:rsidR="000A7FBC">
        <w:trPr>
          <w:cantSplit/>
          <w:trHeight w:val="713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Kurze Verfahrensbeschreibung:</w:t>
            </w:r>
          </w:p>
          <w:p w:rsidR="000A7FBC" w:rsidRDefault="00794734">
            <w:pPr>
              <w:spacing w:before="60" w:after="60" w:line="240" w:lineRule="auto"/>
            </w:pPr>
            <w:r>
              <w:rPr>
                <w:sz w:val="20"/>
              </w:rPr>
              <w:br/>
            </w:r>
          </w:p>
        </w:tc>
      </w:tr>
      <w:tr w:rsidR="000A7FBC">
        <w:trPr>
          <w:cantSplit/>
          <w:trHeight w:val="192"/>
        </w:trPr>
        <w:tc>
          <w:tcPr>
            <w:tcW w:w="9072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FBC" w:rsidRDefault="00794734">
            <w:pPr>
              <w:spacing w:before="20" w:after="20" w:line="240" w:lineRule="auto"/>
              <w:rPr>
                <w:sz w:val="16"/>
              </w:rPr>
            </w:pPr>
            <w:r>
              <w:rPr>
                <w:sz w:val="16"/>
              </w:rPr>
              <w:t>(Parameter wie Druck, Temperatur, Durchsatz sollten enthalten sein, ggf. Verweis auf Verfahrensfließbild, R/I-Schema)</w:t>
            </w:r>
          </w:p>
        </w:tc>
      </w:tr>
      <w:tr w:rsidR="000A7FBC">
        <w:trPr>
          <w:cantSplit/>
          <w:trHeight w:val="82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Besondere Betriebszustände:</w:t>
            </w:r>
          </w:p>
          <w:p w:rsidR="000A7FBC" w:rsidRDefault="00794734">
            <w:pPr>
              <w:spacing w:before="60" w:after="60" w:line="240" w:lineRule="auto"/>
            </w:pPr>
            <w:r>
              <w:rPr>
                <w:sz w:val="20"/>
              </w:rPr>
              <w:br/>
            </w:r>
          </w:p>
        </w:tc>
      </w:tr>
      <w:tr w:rsidR="000A7FBC">
        <w:trPr>
          <w:cantSplit/>
          <w:trHeight w:val="192"/>
        </w:trPr>
        <w:tc>
          <w:tcPr>
            <w:tcW w:w="907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FBC" w:rsidRDefault="00794734">
            <w:pPr>
              <w:spacing w:before="20" w:after="20" w:line="240" w:lineRule="auto"/>
              <w:rPr>
                <w:sz w:val="16"/>
              </w:rPr>
            </w:pPr>
            <w:r>
              <w:rPr>
                <w:sz w:val="16"/>
              </w:rPr>
              <w:t>(z. B. An- und Abfahrprozesse, Reinigungsarbeiten, Störungsbeseitigung)</w:t>
            </w:r>
          </w:p>
        </w:tc>
      </w:tr>
      <w:tr w:rsidR="000A7FBC">
        <w:trPr>
          <w:cantSplit/>
          <w:trHeight w:val="195"/>
        </w:trPr>
        <w:tc>
          <w:tcPr>
            <w:tcW w:w="9072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A7FBC" w:rsidRDefault="0079473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Stoffe, durch die explosionsfähige Atmosphäre</w:t>
            </w:r>
            <w:r>
              <w:rPr>
                <w:b/>
                <w:bCs/>
                <w:vertAlign w:val="superscript"/>
              </w:rPr>
              <w:t>(1)</w:t>
            </w:r>
            <w:r>
              <w:rPr>
                <w:b/>
                <w:bCs/>
              </w:rPr>
              <w:t xml:space="preserve"> entstehen kann, </w:t>
            </w:r>
            <w:r>
              <w:rPr>
                <w:b/>
                <w:bCs/>
              </w:rPr>
              <w:br/>
              <w:t>deren sicherheitstechnische Kenndaten</w:t>
            </w:r>
            <w:r>
              <w:rPr>
                <w:b/>
                <w:bCs/>
                <w:vertAlign w:val="superscript"/>
              </w:rPr>
              <w:t>(2)</w:t>
            </w:r>
          </w:p>
        </w:tc>
      </w:tr>
      <w:tr w:rsidR="000A7FBC">
        <w:trPr>
          <w:cantSplit/>
          <w:trHeight w:val="491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Flüssigkeit / Gas:</w:t>
            </w:r>
          </w:p>
          <w:p w:rsidR="000A7FBC" w:rsidRDefault="000A7FBC">
            <w:pPr>
              <w:spacing w:before="60" w:after="60" w:line="240" w:lineRule="auto"/>
              <w:rPr>
                <w:sz w:val="20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Flammpunkt:</w:t>
            </w:r>
            <w:r>
              <w:rPr>
                <w:sz w:val="20"/>
              </w:rPr>
              <w:br/>
              <w:t>untere/obere Ex-Grenze:</w:t>
            </w:r>
            <w:r>
              <w:rPr>
                <w:sz w:val="20"/>
              </w:rPr>
              <w:br/>
              <w:t>Dampfdruck:</w:t>
            </w:r>
            <w:r>
              <w:rPr>
                <w:sz w:val="20"/>
              </w:rPr>
              <w:br/>
              <w:t>Zündtemperatur: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Explosionsgruppe: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Sauerstoffgrenz</w:t>
            </w:r>
            <w:r>
              <w:rPr>
                <w:sz w:val="20"/>
              </w:rPr>
              <w:softHyphen/>
              <w:t>konzentration: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0A7FBC">
        <w:trPr>
          <w:cantSplit/>
          <w:trHeight w:val="36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brennbarer Staub:</w:t>
            </w:r>
          </w:p>
          <w:p w:rsidR="000A7FBC" w:rsidRDefault="000A7FBC">
            <w:pPr>
              <w:spacing w:before="60" w:after="60" w:line="240" w:lineRule="auto"/>
              <w:rPr>
                <w:sz w:val="20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Korngrößenverteilung:</w:t>
            </w:r>
            <w:r>
              <w:rPr>
                <w:sz w:val="20"/>
              </w:rPr>
              <w:br/>
              <w:t>untere Ex-Grenze:</w:t>
            </w:r>
            <w:r>
              <w:rPr>
                <w:sz w:val="20"/>
              </w:rPr>
              <w:br/>
              <w:t>Mindestzündtemperatur</w:t>
            </w:r>
            <w:r>
              <w:rPr>
                <w:sz w:val="20"/>
              </w:rPr>
              <w:br/>
              <w:t>- einer Staubwolke:</w:t>
            </w:r>
            <w:r>
              <w:rPr>
                <w:sz w:val="20"/>
              </w:rPr>
              <w:br/>
              <w:t>- einer Staubschicht: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Mindestzündenergie: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0"/>
                <w:vertAlign w:val="subscript"/>
              </w:rPr>
              <w:t>St</w:t>
            </w:r>
            <w:proofErr w:type="spellEnd"/>
            <w:r>
              <w:rPr>
                <w:sz w:val="20"/>
              </w:rPr>
              <w:t>-Wert:</w:t>
            </w:r>
            <w:r>
              <w:rPr>
                <w:sz w:val="20"/>
              </w:rPr>
              <w:br/>
              <w:t>max. Explosionsdruck:</w:t>
            </w:r>
            <w:r>
              <w:rPr>
                <w:sz w:val="20"/>
              </w:rPr>
              <w:br/>
              <w:t>Sauerstoffgrenz</w:t>
            </w:r>
            <w:r>
              <w:rPr>
                <w:sz w:val="20"/>
              </w:rPr>
              <w:softHyphen/>
              <w:t>konzentration: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0A7FBC">
        <w:trPr>
          <w:cantSplit/>
          <w:trHeight w:val="176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FBC" w:rsidRDefault="000A7FBC">
            <w:pPr>
              <w:spacing w:before="60" w:after="60" w:line="240" w:lineRule="auto"/>
              <w:rPr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36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A7FBC" w:rsidRDefault="000A7FBC">
            <w:pPr>
              <w:spacing w:before="60" w:after="60" w:line="240" w:lineRule="auto"/>
              <w:rPr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97"/>
        </w:trPr>
        <w:tc>
          <w:tcPr>
            <w:tcW w:w="7227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0A7FBC" w:rsidRDefault="0079473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Beurteilung der Explosionsgefahr</w:t>
            </w:r>
            <w:r>
              <w:rPr>
                <w:b/>
                <w:bCs/>
                <w:vertAlign w:val="superscript"/>
              </w:rPr>
              <w:t>(3)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</w:tr>
      <w:tr w:rsidR="000A7FBC">
        <w:trPr>
          <w:cantSplit/>
          <w:trHeight w:val="255"/>
        </w:trPr>
        <w:tc>
          <w:tcPr>
            <w:tcW w:w="42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FBC" w:rsidRDefault="00794734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FBC" w:rsidRDefault="00794734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Anlagenbereich / Anlagenteil</w:t>
            </w:r>
          </w:p>
        </w:tc>
        <w:tc>
          <w:tcPr>
            <w:tcW w:w="553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A7FBC" w:rsidRDefault="00794734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Ex-Zonen (Ausdehnung / Höhe)</w:t>
            </w:r>
          </w:p>
        </w:tc>
      </w:tr>
      <w:tr w:rsidR="000A7FBC">
        <w:trPr>
          <w:cantSplit/>
          <w:trHeight w:val="270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Zone 0</w:t>
            </w:r>
            <w:r>
              <w:rPr>
                <w:sz w:val="20"/>
                <w:lang w:val="it-IT"/>
              </w:rPr>
              <w:br/>
              <w:t>Zone 1</w:t>
            </w:r>
            <w:r>
              <w:rPr>
                <w:sz w:val="20"/>
                <w:lang w:val="it-IT"/>
              </w:rPr>
              <w:br/>
              <w:t>Zone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bookmarkEnd w:id="0"/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bookmarkEnd w:id="1"/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bookmarkEnd w:id="2"/>
            <w:r>
              <w:rPr>
                <w:sz w:val="20"/>
                <w:lang w:val="it-IT"/>
              </w:rPr>
              <w:tab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Zone 20</w:t>
            </w:r>
            <w:r>
              <w:rPr>
                <w:sz w:val="20"/>
                <w:lang w:val="it-IT"/>
              </w:rPr>
              <w:br/>
              <w:t>Zone 21</w:t>
            </w:r>
            <w:r>
              <w:rPr>
                <w:sz w:val="20"/>
                <w:lang w:val="it-IT"/>
              </w:rPr>
              <w:br/>
              <w:t>Zone 22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</w:p>
        </w:tc>
      </w:tr>
      <w:tr w:rsidR="000A7FBC">
        <w:trPr>
          <w:cantSplit/>
          <w:trHeight w:val="270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Zone 0</w:t>
            </w:r>
            <w:r>
              <w:rPr>
                <w:sz w:val="20"/>
                <w:lang w:val="it-IT"/>
              </w:rPr>
              <w:br/>
              <w:t>Zone 1</w:t>
            </w:r>
            <w:r>
              <w:rPr>
                <w:sz w:val="20"/>
                <w:lang w:val="it-IT"/>
              </w:rPr>
              <w:br/>
              <w:t>Zone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Zone 20</w:t>
            </w:r>
            <w:r>
              <w:rPr>
                <w:sz w:val="20"/>
                <w:lang w:val="it-IT"/>
              </w:rPr>
              <w:br/>
              <w:t>Zone 21</w:t>
            </w:r>
            <w:r>
              <w:rPr>
                <w:sz w:val="20"/>
                <w:lang w:val="it-IT"/>
              </w:rPr>
              <w:br/>
              <w:t>Zone 22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</w:p>
        </w:tc>
      </w:tr>
      <w:tr w:rsidR="000A7FBC">
        <w:trPr>
          <w:cantSplit/>
          <w:trHeight w:val="270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Zone 0</w:t>
            </w:r>
            <w:r>
              <w:rPr>
                <w:sz w:val="20"/>
                <w:lang w:val="it-IT"/>
              </w:rPr>
              <w:br/>
              <w:t>Zone 1</w:t>
            </w:r>
            <w:r>
              <w:rPr>
                <w:sz w:val="20"/>
                <w:lang w:val="it-IT"/>
              </w:rPr>
              <w:br/>
              <w:t>Zone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Zone 20</w:t>
            </w:r>
            <w:r>
              <w:rPr>
                <w:sz w:val="20"/>
                <w:lang w:val="it-IT"/>
              </w:rPr>
              <w:br/>
              <w:t>Zone 21</w:t>
            </w:r>
            <w:r>
              <w:rPr>
                <w:sz w:val="20"/>
                <w:lang w:val="it-IT"/>
              </w:rPr>
              <w:br/>
              <w:t>Zone 22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</w:p>
        </w:tc>
      </w:tr>
      <w:tr w:rsidR="000A7FBC">
        <w:trPr>
          <w:cantSplit/>
          <w:trHeight w:val="270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Zone 0</w:t>
            </w:r>
            <w:r>
              <w:rPr>
                <w:sz w:val="20"/>
                <w:lang w:val="it-IT"/>
              </w:rPr>
              <w:br/>
              <w:t>Zone 1</w:t>
            </w:r>
            <w:r>
              <w:rPr>
                <w:sz w:val="20"/>
                <w:lang w:val="it-IT"/>
              </w:rPr>
              <w:br/>
              <w:t>Zone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FBC" w:rsidRDefault="00794734">
            <w:pPr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Zone 20</w:t>
            </w:r>
            <w:r>
              <w:rPr>
                <w:sz w:val="20"/>
                <w:lang w:val="it-IT"/>
              </w:rPr>
              <w:br/>
              <w:t>Zone 21</w:t>
            </w:r>
            <w:r>
              <w:rPr>
                <w:sz w:val="20"/>
                <w:lang w:val="it-IT"/>
              </w:rPr>
              <w:br/>
              <w:t>Zone 22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</w:r>
          </w:p>
        </w:tc>
      </w:tr>
      <w:tr w:rsidR="000A7FBC">
        <w:trPr>
          <w:cantSplit/>
          <w:trHeight w:val="2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7FBC" w:rsidRDefault="00794734">
            <w:pPr>
              <w:tabs>
                <w:tab w:val="left" w:pos="1773"/>
              </w:tabs>
              <w:spacing w:before="60" w:after="60" w:line="240" w:lineRule="auto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Ex-</w:t>
            </w:r>
            <w:proofErr w:type="spellStart"/>
            <w:r>
              <w:rPr>
                <w:b/>
                <w:bCs/>
                <w:sz w:val="20"/>
                <w:lang w:val="it-IT"/>
              </w:rPr>
              <w:t>Zonenplan</w:t>
            </w:r>
            <w:proofErr w:type="spellEnd"/>
            <w:r>
              <w:rPr>
                <w:b/>
                <w:bCs/>
                <w:sz w:val="20"/>
                <w:vertAlign w:val="superscript"/>
              </w:rPr>
              <w:t>(4)</w:t>
            </w:r>
            <w:r>
              <w:rPr>
                <w:b/>
                <w:bCs/>
                <w:sz w:val="20"/>
                <w:lang w:val="it-IT"/>
              </w:rPr>
              <w:t>:</w:t>
            </w:r>
            <w:r>
              <w:rPr>
                <w:b/>
                <w:bCs/>
                <w:sz w:val="20"/>
                <w:lang w:val="it-IT"/>
              </w:rPr>
              <w:tab/>
            </w:r>
          </w:p>
        </w:tc>
      </w:tr>
      <w:tr w:rsidR="000A7FBC">
        <w:trPr>
          <w:cantSplit/>
          <w:trHeight w:val="192"/>
        </w:trPr>
        <w:tc>
          <w:tcPr>
            <w:tcW w:w="907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FBC" w:rsidRDefault="00794734">
            <w:pPr>
              <w:tabs>
                <w:tab w:val="left" w:pos="1773"/>
              </w:tabs>
              <w:spacing w:before="20" w:after="20" w:line="240" w:lineRule="auto"/>
              <w:rPr>
                <w:sz w:val="16"/>
              </w:rPr>
            </w:pPr>
            <w:r>
              <w:rPr>
                <w:sz w:val="16"/>
              </w:rPr>
              <w:tab/>
              <w:t>(als Anlage zum Ex-Schutz-Dokument oder Verweis auf den Ex-Zonenplan)</w:t>
            </w:r>
          </w:p>
        </w:tc>
      </w:tr>
    </w:tbl>
    <w:p w:rsidR="00C701BB" w:rsidRDefault="00C701BB">
      <w:pPr>
        <w:spacing w:after="120" w:line="240" w:lineRule="auto"/>
        <w:jc w:val="center"/>
        <w:rPr>
          <w:sz w:val="16"/>
        </w:rPr>
      </w:pPr>
    </w:p>
    <w:p w:rsidR="00C701BB" w:rsidRDefault="00C701BB">
      <w:pPr>
        <w:spacing w:line="240" w:lineRule="auto"/>
        <w:rPr>
          <w:sz w:val="16"/>
        </w:rPr>
      </w:pPr>
      <w:r>
        <w:rPr>
          <w:sz w:val="16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994"/>
        <w:gridCol w:w="2123"/>
        <w:gridCol w:w="995"/>
        <w:gridCol w:w="2835"/>
        <w:gridCol w:w="1701"/>
      </w:tblGrid>
      <w:tr w:rsidR="000A7FBC">
        <w:trPr>
          <w:cantSplit/>
          <w:trHeight w:val="197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A7FBC" w:rsidRDefault="0079473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Explosionsschutz-Maßnahmen</w:t>
            </w:r>
            <w:r>
              <w:rPr>
                <w:b/>
                <w:bCs/>
                <w:vertAlign w:val="superscript"/>
              </w:rPr>
              <w:t>(5)</w:t>
            </w:r>
          </w:p>
        </w:tc>
      </w:tr>
      <w:tr w:rsidR="000A7FBC">
        <w:trPr>
          <w:cantSplit/>
          <w:trHeight w:val="132"/>
        </w:trPr>
        <w:tc>
          <w:tcPr>
            <w:tcW w:w="42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FBC" w:rsidRDefault="00794734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FBC" w:rsidRDefault="00794734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Anlagenbereich / Anlagenteil</w:t>
            </w:r>
          </w:p>
        </w:tc>
        <w:tc>
          <w:tcPr>
            <w:tcW w:w="55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A7FBC" w:rsidRDefault="00794734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gewähltes Schutzprinzip</w:t>
            </w:r>
            <w:r>
              <w:rPr>
                <w:b/>
                <w:bCs/>
                <w:sz w:val="20"/>
                <w:vertAlign w:val="superscript"/>
              </w:rPr>
              <w:t>(6)</w:t>
            </w:r>
          </w:p>
        </w:tc>
      </w:tr>
      <w:tr w:rsidR="000A7FBC">
        <w:trPr>
          <w:cantSplit/>
          <w:trHeight w:val="191"/>
        </w:trPr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Verhindern explosionsfähiger Atmosphäre (keine Zone)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Vermeiden wirksamer Zündquellen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Konstruktiver Explosionsschutz</w:t>
            </w:r>
          </w:p>
        </w:tc>
      </w:tr>
      <w:tr w:rsidR="000A7FBC">
        <w:trPr>
          <w:cantSplit/>
          <w:trHeight w:val="253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Zone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Maßnahmen</w:t>
            </w:r>
          </w:p>
        </w:tc>
        <w:tc>
          <w:tcPr>
            <w:tcW w:w="5531" w:type="dxa"/>
            <w:gridSpan w:val="3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216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36"/>
        </w:trPr>
        <w:tc>
          <w:tcPr>
            <w:tcW w:w="42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91"/>
        </w:trPr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Verhindern explosionsfähiger Atmosphäre (keine Zone)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Vermeiden wirksamer Zündquellen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Konstruktiver Explosionsschutz</w:t>
            </w:r>
          </w:p>
        </w:tc>
      </w:tr>
      <w:tr w:rsidR="000A7FBC">
        <w:trPr>
          <w:cantSplit/>
          <w:trHeight w:val="253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Zone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Maßnahmen</w:t>
            </w:r>
          </w:p>
        </w:tc>
        <w:tc>
          <w:tcPr>
            <w:tcW w:w="5531" w:type="dxa"/>
            <w:gridSpan w:val="3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216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36"/>
        </w:trPr>
        <w:tc>
          <w:tcPr>
            <w:tcW w:w="42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91"/>
        </w:trPr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Verhindern explosionsfähiger Atmosphäre (keine Zone)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Vermeiden wirksamer Zündquellen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Konstruktiver Explosionsschutz</w:t>
            </w:r>
          </w:p>
        </w:tc>
      </w:tr>
      <w:tr w:rsidR="000A7FBC">
        <w:trPr>
          <w:cantSplit/>
          <w:trHeight w:val="253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Zone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Maßnahmen</w:t>
            </w:r>
          </w:p>
        </w:tc>
        <w:tc>
          <w:tcPr>
            <w:tcW w:w="5531" w:type="dxa"/>
            <w:gridSpan w:val="3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216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36"/>
        </w:trPr>
        <w:tc>
          <w:tcPr>
            <w:tcW w:w="42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91"/>
        </w:trPr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Verhindern explosionsfähiger Atmosphäre (keine Zone)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Vermeiden wirksamer Zündquellen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Konstruktiver Explosionsschutz</w:t>
            </w:r>
          </w:p>
        </w:tc>
      </w:tr>
      <w:tr w:rsidR="000A7FBC">
        <w:trPr>
          <w:cantSplit/>
          <w:trHeight w:val="253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Zone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spacing w:before="60" w:after="6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Maßnahmen</w:t>
            </w:r>
          </w:p>
        </w:tc>
        <w:tc>
          <w:tcPr>
            <w:tcW w:w="5531" w:type="dxa"/>
            <w:gridSpan w:val="3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216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36"/>
        </w:trPr>
        <w:tc>
          <w:tcPr>
            <w:tcW w:w="42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270"/>
        </w:trPr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BC" w:rsidRDefault="00794734">
            <w:pPr>
              <w:tabs>
                <w:tab w:val="left" w:pos="355"/>
                <w:tab w:val="left" w:pos="1491"/>
              </w:tabs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Organisatorische Maßnahmen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BC" w:rsidRDefault="00794734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Erläuterung / Dokument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A7FBC" w:rsidRDefault="00794734">
            <w:pPr>
              <w:tabs>
                <w:tab w:val="left" w:pos="355"/>
                <w:tab w:val="left" w:pos="1491"/>
              </w:tabs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zuständig</w:t>
            </w:r>
          </w:p>
        </w:tc>
      </w:tr>
      <w:tr w:rsidR="000A7FBC">
        <w:trPr>
          <w:cantSplit/>
          <w:trHeight w:val="8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Kennzeichnung Ex-Bereiche: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8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Betriebsanweisung: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8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Unterweisung: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8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regelm</w:t>
            </w:r>
            <w:proofErr w:type="spellEnd"/>
            <w:r>
              <w:rPr>
                <w:sz w:val="20"/>
              </w:rPr>
              <w:t>. Beseitigung von Staubablagerungen: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8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Kontrollgänge: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8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Festlegung / Überwachung von Prüfungen: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8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Freigaben für gefährliche Tätigkeiten: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8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Aktuell halten des Ex-Schutz-Dokuments</w:t>
            </w:r>
            <w:r>
              <w:rPr>
                <w:sz w:val="20"/>
                <w:vertAlign w:val="superscript"/>
              </w:rPr>
              <w:t>(7)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FBC" w:rsidRDefault="000A7FBC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A7FBC">
        <w:trPr>
          <w:cantSplit/>
          <w:trHeight w:val="110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A7FBC" w:rsidRDefault="00794734">
            <w:pPr>
              <w:tabs>
                <w:tab w:val="left" w:pos="355"/>
                <w:tab w:val="left" w:pos="1491"/>
              </w:tabs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Anlagen zum Ex-Schutz-Dokument</w:t>
            </w:r>
          </w:p>
        </w:tc>
      </w:tr>
      <w:tr w:rsidR="000A7FBC">
        <w:trPr>
          <w:cantSplit/>
          <w:trHeight w:val="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FBC" w:rsidRDefault="0079473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Pläne (z. B. Lageplan, Aufstellungsplan):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Verfahrensfließbild, R/I-Schema: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Sicherheitsdatenblätter / Gefahrstoff-Verzeichnis: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 xml:space="preserve">Ex-Zonen-Plan: 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EG-Baumusterprüfbescheinigungen (Geräte, Arbeitsmittel):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1646">
              <w:rPr>
                <w:sz w:val="20"/>
                <w:lang w:val="it-IT"/>
              </w:rPr>
            </w:r>
            <w:r w:rsidR="009C1646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Sonstiges:</w:t>
            </w:r>
          </w:p>
        </w:tc>
      </w:tr>
      <w:tr w:rsidR="000A7FBC">
        <w:trPr>
          <w:cantSplit/>
          <w:trHeight w:val="315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A7FBC" w:rsidRDefault="00794734">
            <w:pPr>
              <w:tabs>
                <w:tab w:val="left" w:pos="1725"/>
              </w:tabs>
              <w:spacing w:before="160" w:after="160" w:line="240" w:lineRule="auto"/>
              <w:rPr>
                <w:sz w:val="20"/>
              </w:rPr>
            </w:pPr>
            <w:r>
              <w:rPr>
                <w:sz w:val="20"/>
              </w:rPr>
              <w:t>Betriebsverantwortlicher:</w:t>
            </w:r>
            <w:r>
              <w:rPr>
                <w:sz w:val="20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7FBC" w:rsidRDefault="00794734">
            <w:pPr>
              <w:spacing w:before="160" w:after="160" w:line="240" w:lineRule="auto"/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</w:tr>
    </w:tbl>
    <w:p w:rsidR="000A7FBC" w:rsidRDefault="000A7FBC">
      <w:pPr>
        <w:spacing w:line="240" w:lineRule="auto"/>
        <w:jc w:val="both"/>
        <w:rPr>
          <w:sz w:val="16"/>
          <w:lang w:val="it-IT"/>
        </w:rPr>
      </w:pPr>
    </w:p>
    <w:p w:rsidR="00C701BB" w:rsidRDefault="00794734">
      <w:pPr>
        <w:spacing w:after="240" w:line="240" w:lineRule="auto"/>
        <w:rPr>
          <w:sz w:val="16"/>
        </w:rPr>
      </w:pPr>
      <w:r>
        <w:rPr>
          <w:sz w:val="16"/>
        </w:rPr>
        <w:br w:type="page"/>
      </w:r>
    </w:p>
    <w:p w:rsidR="00C701BB" w:rsidRDefault="00C701BB" w:rsidP="009C1646">
      <w:pPr>
        <w:spacing w:line="240" w:lineRule="auto"/>
        <w:rPr>
          <w:b/>
          <w:bCs/>
          <w:sz w:val="24"/>
        </w:rPr>
      </w:pPr>
    </w:p>
    <w:p w:rsidR="00C701BB" w:rsidRDefault="00C701BB" w:rsidP="00C701BB">
      <w:pPr>
        <w:spacing w:line="240" w:lineRule="auto"/>
        <w:jc w:val="center"/>
        <w:rPr>
          <w:b/>
          <w:bCs/>
          <w:sz w:val="24"/>
        </w:rPr>
      </w:pPr>
    </w:p>
    <w:p w:rsidR="000A7FBC" w:rsidRPr="00C701BB" w:rsidRDefault="00794734" w:rsidP="00C701BB">
      <w:pPr>
        <w:spacing w:line="240" w:lineRule="auto"/>
        <w:jc w:val="center"/>
        <w:rPr>
          <w:b/>
          <w:bCs/>
          <w:sz w:val="24"/>
        </w:rPr>
      </w:pPr>
      <w:r w:rsidRPr="00C701BB">
        <w:rPr>
          <w:b/>
          <w:bCs/>
          <w:sz w:val="24"/>
        </w:rPr>
        <w:t>Erläuterungen zum Explosionsschutz-Dokument</w:t>
      </w:r>
    </w:p>
    <w:p w:rsidR="00C701BB" w:rsidRDefault="00C701BB" w:rsidP="00C701BB">
      <w:pPr>
        <w:spacing w:line="240" w:lineRule="auto"/>
        <w:jc w:val="both"/>
        <w:rPr>
          <w:b/>
          <w:bCs/>
          <w:sz w:val="20"/>
        </w:rPr>
      </w:pPr>
    </w:p>
    <w:p w:rsidR="00C701BB" w:rsidRPr="00C701BB" w:rsidRDefault="00C701BB" w:rsidP="00C701BB">
      <w:pPr>
        <w:spacing w:line="240" w:lineRule="auto"/>
        <w:jc w:val="both"/>
        <w:rPr>
          <w:b/>
          <w:bCs/>
          <w:sz w:val="20"/>
        </w:rPr>
      </w:pPr>
    </w:p>
    <w:p w:rsidR="000A7FBC" w:rsidRDefault="00794734" w:rsidP="00C701BB">
      <w:pPr>
        <w:numPr>
          <w:ilvl w:val="0"/>
          <w:numId w:val="30"/>
        </w:numPr>
        <w:tabs>
          <w:tab w:val="clear" w:pos="360"/>
          <w:tab w:val="num" w:pos="426"/>
        </w:tabs>
        <w:spacing w:line="240" w:lineRule="auto"/>
        <w:ind w:left="425" w:hanging="425"/>
        <w:jc w:val="both"/>
        <w:rPr>
          <w:sz w:val="20"/>
        </w:rPr>
      </w:pPr>
      <w:r w:rsidRPr="00C701BB">
        <w:rPr>
          <w:sz w:val="20"/>
        </w:rPr>
        <w:t xml:space="preserve">Explosionsfähige Atmosphäre ist ein Gemisch aus Luft mit brennbaren Gasen, Dämpfen, Nebeln oder Stäuben unter atmosphärischen Bedingungen, in dem sich der Verbrennungsvorgang nach erfolgter Zündung auf das gesamte </w:t>
      </w:r>
      <w:proofErr w:type="spellStart"/>
      <w:r w:rsidRPr="00C701BB">
        <w:rPr>
          <w:sz w:val="20"/>
        </w:rPr>
        <w:t>unverbrannte</w:t>
      </w:r>
      <w:proofErr w:type="spellEnd"/>
      <w:r w:rsidRPr="00C701BB">
        <w:rPr>
          <w:sz w:val="20"/>
        </w:rPr>
        <w:t xml:space="preserve"> Gemisch überträgt.</w:t>
      </w:r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P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Default="00794734" w:rsidP="00C701BB">
      <w:pPr>
        <w:numPr>
          <w:ilvl w:val="0"/>
          <w:numId w:val="30"/>
        </w:numPr>
        <w:tabs>
          <w:tab w:val="clear" w:pos="360"/>
          <w:tab w:val="num" w:pos="426"/>
        </w:tabs>
        <w:spacing w:line="240" w:lineRule="auto"/>
        <w:ind w:left="425" w:hanging="425"/>
        <w:jc w:val="both"/>
        <w:rPr>
          <w:sz w:val="20"/>
        </w:rPr>
      </w:pPr>
      <w:r w:rsidRPr="00C701BB">
        <w:rPr>
          <w:sz w:val="20"/>
        </w:rPr>
        <w:t>Je nach Fall sind nicht alle der aufgeführten Kenndate</w:t>
      </w:r>
      <w:r w:rsidR="00C701BB">
        <w:rPr>
          <w:sz w:val="20"/>
        </w:rPr>
        <w:t>n zur Beurteilung erforderlich.</w:t>
      </w:r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Default="00794734" w:rsidP="00C701BB">
      <w:pPr>
        <w:spacing w:line="240" w:lineRule="auto"/>
        <w:ind w:left="425"/>
        <w:jc w:val="both"/>
        <w:rPr>
          <w:b/>
          <w:bCs/>
          <w:sz w:val="20"/>
        </w:rPr>
      </w:pPr>
      <w:r w:rsidRPr="00C701BB">
        <w:rPr>
          <w:b/>
          <w:bCs/>
          <w:sz w:val="20"/>
        </w:rPr>
        <w:t>Die sicherheitstechnischen Kenndaten können entnommen werden aus:</w:t>
      </w:r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Sicherheitsdatenblättern / Angaben des Herstellers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Datenbanken</w:t>
      </w:r>
    </w:p>
    <w:p w:rsidR="000A7FBC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 xml:space="preserve">- Tabellenwerken </w:t>
      </w:r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P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Default="00794734" w:rsidP="00C701BB">
      <w:pPr>
        <w:numPr>
          <w:ilvl w:val="0"/>
          <w:numId w:val="30"/>
        </w:numPr>
        <w:tabs>
          <w:tab w:val="clear" w:pos="360"/>
          <w:tab w:val="num" w:pos="426"/>
        </w:tabs>
        <w:spacing w:line="240" w:lineRule="auto"/>
        <w:ind w:left="425" w:hanging="425"/>
        <w:jc w:val="both"/>
        <w:rPr>
          <w:sz w:val="20"/>
        </w:rPr>
      </w:pPr>
      <w:r w:rsidRPr="00C701BB">
        <w:rPr>
          <w:b/>
          <w:bCs/>
          <w:sz w:val="20"/>
        </w:rPr>
        <w:t>Als Grundlage für die Zoneneinteilung können die "Explosionsschutz-Regeln" (DGUV Regel 113-001) mit deren Beispielsammlung herangezogen werden.</w:t>
      </w:r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0A7FBC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Es sind der Normalbetrieb, aber auch An- und Abfahrprozesse, Reinigungsarbeiten, Betriebsstörungen usw. zu betrachten.</w:t>
      </w:r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P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0A7FBC" w:rsidRDefault="00794734" w:rsidP="00C701BB">
      <w:pPr>
        <w:numPr>
          <w:ilvl w:val="0"/>
          <w:numId w:val="30"/>
        </w:numPr>
        <w:tabs>
          <w:tab w:val="clear" w:pos="360"/>
          <w:tab w:val="num" w:pos="426"/>
        </w:tabs>
        <w:spacing w:line="240" w:lineRule="auto"/>
        <w:ind w:left="425" w:hanging="425"/>
        <w:jc w:val="both"/>
        <w:rPr>
          <w:sz w:val="20"/>
        </w:rPr>
      </w:pPr>
      <w:r w:rsidRPr="00C701BB">
        <w:rPr>
          <w:sz w:val="20"/>
        </w:rPr>
        <w:t>Aus dem Ex-Zonenplan sollen die für die einzelnen Bereiche (z. B. Inneres von Behältern, Umgebung) festgelegten Zonen hervorgehen. Eine grafische Darstellung, z. B. in einem Gebäude- oder Apparateplan ist sinnvoll.</w:t>
      </w:r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P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0A7FBC" w:rsidRDefault="00794734" w:rsidP="00C701BB">
      <w:pPr>
        <w:numPr>
          <w:ilvl w:val="0"/>
          <w:numId w:val="30"/>
        </w:numPr>
        <w:tabs>
          <w:tab w:val="clear" w:pos="360"/>
          <w:tab w:val="num" w:pos="426"/>
        </w:tabs>
        <w:spacing w:line="240" w:lineRule="auto"/>
        <w:ind w:left="425" w:hanging="425"/>
        <w:jc w:val="both"/>
        <w:rPr>
          <w:b/>
          <w:bCs/>
          <w:sz w:val="20"/>
        </w:rPr>
      </w:pPr>
      <w:r w:rsidRPr="00C701BB">
        <w:rPr>
          <w:b/>
          <w:bCs/>
          <w:sz w:val="20"/>
        </w:rPr>
        <w:t>Die Explosionsschutz-Maßnahmen sind in den "Explosionsschutz-Regeln" (DGUV Regel 113-001) beschrieben.</w:t>
      </w:r>
    </w:p>
    <w:p w:rsidR="00C701BB" w:rsidRDefault="00C701BB" w:rsidP="00C701BB">
      <w:pPr>
        <w:spacing w:line="240" w:lineRule="auto"/>
        <w:ind w:left="425"/>
        <w:jc w:val="both"/>
        <w:rPr>
          <w:b/>
          <w:bCs/>
          <w:sz w:val="20"/>
        </w:rPr>
      </w:pPr>
    </w:p>
    <w:p w:rsidR="00C701BB" w:rsidRPr="00C701BB" w:rsidRDefault="00C701BB" w:rsidP="00C701BB">
      <w:pPr>
        <w:spacing w:line="240" w:lineRule="auto"/>
        <w:ind w:left="425"/>
        <w:jc w:val="both"/>
        <w:rPr>
          <w:b/>
          <w:bCs/>
          <w:sz w:val="20"/>
        </w:rPr>
      </w:pPr>
    </w:p>
    <w:p w:rsidR="00C701BB" w:rsidRDefault="00794734" w:rsidP="00C701BB">
      <w:pPr>
        <w:numPr>
          <w:ilvl w:val="0"/>
          <w:numId w:val="30"/>
        </w:numPr>
        <w:tabs>
          <w:tab w:val="clear" w:pos="360"/>
          <w:tab w:val="num" w:pos="426"/>
        </w:tabs>
        <w:spacing w:line="240" w:lineRule="auto"/>
        <w:ind w:left="425" w:hanging="425"/>
        <w:jc w:val="both"/>
        <w:rPr>
          <w:sz w:val="20"/>
        </w:rPr>
      </w:pPr>
      <w:r w:rsidRPr="00C701BB">
        <w:rPr>
          <w:sz w:val="20"/>
        </w:rPr>
        <w:t>Beispiele für Maßnahmen zum gewählten</w:t>
      </w:r>
      <w:r w:rsidR="00C701BB">
        <w:rPr>
          <w:sz w:val="20"/>
        </w:rPr>
        <w:t xml:space="preserve"> Schutzprinzip:</w:t>
      </w:r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  <w:u w:val="single"/>
        </w:rPr>
        <w:t>a)</w:t>
      </w:r>
      <w:r w:rsidRPr="00C701BB">
        <w:rPr>
          <w:sz w:val="20"/>
          <w:u w:val="single"/>
        </w:rPr>
        <w:tab/>
        <w:t>Verhindern explosionsfähiger Atmosphäre, z. B.</w:t>
      </w:r>
      <w:r w:rsidR="00C701BB" w:rsidRPr="00C701BB">
        <w:rPr>
          <w:sz w:val="20"/>
        </w:rPr>
        <w:t xml:space="preserve"> 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Menge so begrenzen, dass untere Ex-Grenze stets sicher unterschritten ist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 xml:space="preserve">- Brennbare Flüssigkeiten / Gemische dauerhaft sicher 15 Grad unter deren Flammpunkt 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ausreichende Lüftung, ggf. mit Konzentrationsüberwachung (z. B. Gaswarngerät)</w:t>
      </w:r>
      <w:r w:rsidRPr="00C701BB">
        <w:rPr>
          <w:sz w:val="20"/>
        </w:rPr>
        <w:br/>
        <w:t xml:space="preserve">- technisch überwachte </w:t>
      </w:r>
      <w:proofErr w:type="spellStart"/>
      <w:r w:rsidRPr="00C701BB">
        <w:rPr>
          <w:sz w:val="20"/>
        </w:rPr>
        <w:t>Inertisierung</w:t>
      </w:r>
      <w:proofErr w:type="spellEnd"/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  <w:u w:val="single"/>
        </w:rPr>
        <w:t>b) Vermeiden aller denkbaren wirksamen Zündquellen entsprechend der Zone, z. B.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Auswahl geeigneter elektrischer Geräte mit einer für die Zone geeigneten Kategorie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Vermeidung heißer Oberflächen, offener Flammen und mechanischer Funken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Erdung</w:t>
      </w:r>
    </w:p>
    <w:p w:rsidR="00C701BB" w:rsidRDefault="00C701BB" w:rsidP="00C701BB">
      <w:pPr>
        <w:spacing w:line="240" w:lineRule="auto"/>
        <w:ind w:left="425"/>
        <w:jc w:val="both"/>
        <w:rPr>
          <w:sz w:val="20"/>
        </w:rPr>
      </w:pPr>
    </w:p>
    <w:p w:rsidR="00C701BB" w:rsidRDefault="00794734" w:rsidP="00C701BB">
      <w:pPr>
        <w:spacing w:line="240" w:lineRule="auto"/>
        <w:ind w:left="425"/>
        <w:jc w:val="both"/>
        <w:rPr>
          <w:sz w:val="20"/>
          <w:u w:val="single"/>
        </w:rPr>
      </w:pPr>
      <w:r w:rsidRPr="00C701BB">
        <w:rPr>
          <w:sz w:val="20"/>
          <w:u w:val="single"/>
        </w:rPr>
        <w:t xml:space="preserve">c) Konstruktiver Explosionsschutz, z. B. 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Explosionsfeste Bauweise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Druckentlastung</w:t>
      </w:r>
    </w:p>
    <w:p w:rsidR="00C701BB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- Explosionsunterdrückung</w:t>
      </w:r>
    </w:p>
    <w:p w:rsidR="000A7FBC" w:rsidRDefault="00794734" w:rsidP="00C701BB">
      <w:pPr>
        <w:spacing w:line="240" w:lineRule="auto"/>
        <w:ind w:left="425"/>
        <w:jc w:val="both"/>
        <w:rPr>
          <w:sz w:val="20"/>
        </w:rPr>
      </w:pPr>
      <w:r w:rsidRPr="00C701BB">
        <w:rPr>
          <w:sz w:val="20"/>
        </w:rPr>
        <w:t>(jeweils kombiniert mit explosionstechnischer Entkoppelung)</w:t>
      </w:r>
    </w:p>
    <w:p w:rsidR="00C701BB" w:rsidRDefault="00C701BB" w:rsidP="00C701BB">
      <w:pPr>
        <w:spacing w:line="240" w:lineRule="auto"/>
        <w:ind w:left="426"/>
        <w:jc w:val="both"/>
        <w:rPr>
          <w:sz w:val="20"/>
        </w:rPr>
      </w:pPr>
    </w:p>
    <w:p w:rsidR="00C701BB" w:rsidRPr="00C701BB" w:rsidRDefault="00C701BB" w:rsidP="00C701BB">
      <w:pPr>
        <w:spacing w:line="240" w:lineRule="auto"/>
        <w:ind w:left="426"/>
        <w:jc w:val="both"/>
        <w:rPr>
          <w:sz w:val="20"/>
        </w:rPr>
      </w:pPr>
    </w:p>
    <w:p w:rsidR="00C701BB" w:rsidRPr="00C701BB" w:rsidRDefault="00794734" w:rsidP="00C701BB">
      <w:pPr>
        <w:numPr>
          <w:ilvl w:val="0"/>
          <w:numId w:val="30"/>
        </w:numPr>
        <w:tabs>
          <w:tab w:val="clear" w:pos="360"/>
          <w:tab w:val="num" w:pos="426"/>
        </w:tabs>
        <w:spacing w:line="240" w:lineRule="auto"/>
        <w:ind w:left="425" w:hanging="425"/>
        <w:jc w:val="both"/>
        <w:rPr>
          <w:sz w:val="20"/>
        </w:rPr>
      </w:pPr>
      <w:r w:rsidRPr="00C701BB">
        <w:rPr>
          <w:sz w:val="20"/>
        </w:rPr>
        <w:t>Um das Ex-Schutz-Dokument aktuell zu halten, sollten sinnvoller Weise die Anlässe zur Bearbeitung festgeschrieben werden. Wichtig ist die Beurteilung, welche Veränderungen eine Neubewertung des dokumentierten Schutzkonzepts erforderlich machen.</w:t>
      </w:r>
    </w:p>
    <w:p w:rsidR="00C701BB" w:rsidRDefault="00C701BB" w:rsidP="00C701BB">
      <w:pPr>
        <w:jc w:val="center"/>
        <w:rPr>
          <w:b/>
          <w:sz w:val="24"/>
        </w:rPr>
      </w:pPr>
    </w:p>
    <w:p w:rsidR="00C701BB" w:rsidRDefault="00C701BB" w:rsidP="00C701BB">
      <w:pPr>
        <w:jc w:val="center"/>
        <w:rPr>
          <w:b/>
          <w:sz w:val="24"/>
        </w:rPr>
      </w:pPr>
      <w:bookmarkStart w:id="3" w:name="_GoBack"/>
      <w:bookmarkEnd w:id="3"/>
    </w:p>
    <w:p w:rsidR="000A7FBC" w:rsidRPr="00C701BB" w:rsidRDefault="00794734" w:rsidP="00C701BB">
      <w:pPr>
        <w:jc w:val="center"/>
        <w:rPr>
          <w:b/>
          <w:sz w:val="24"/>
        </w:rPr>
      </w:pPr>
      <w:r w:rsidRPr="00C701BB">
        <w:rPr>
          <w:b/>
          <w:sz w:val="24"/>
        </w:rPr>
        <w:t xml:space="preserve">Zonen-Definition nach ATEX 1999/92/EG (ATEX 137), </w:t>
      </w:r>
      <w:proofErr w:type="spellStart"/>
      <w:r w:rsidRPr="00C701BB">
        <w:rPr>
          <w:b/>
          <w:sz w:val="24"/>
        </w:rPr>
        <w:t>Anh</w:t>
      </w:r>
      <w:proofErr w:type="spellEnd"/>
      <w:r w:rsidRPr="00C701BB">
        <w:rPr>
          <w:b/>
          <w:sz w:val="24"/>
        </w:rPr>
        <w:t>. 1, 2</w:t>
      </w:r>
    </w:p>
    <w:p w:rsidR="00C701BB" w:rsidRDefault="00C701BB" w:rsidP="00C701BB">
      <w:pPr>
        <w:shd w:val="clear" w:color="auto" w:fill="FFFFFF"/>
        <w:spacing w:after="240" w:line="242" w:lineRule="atLeast"/>
        <w:jc w:val="both"/>
        <w:textAlignment w:val="baseline"/>
        <w:rPr>
          <w:rFonts w:cs="Arial"/>
          <w:color w:val="444444"/>
          <w:sz w:val="20"/>
          <w:szCs w:val="15"/>
        </w:rPr>
      </w:pPr>
    </w:p>
    <w:p w:rsidR="000A7FBC" w:rsidRPr="00C701BB" w:rsidRDefault="00794734" w:rsidP="00C701BB">
      <w:pPr>
        <w:shd w:val="clear" w:color="auto" w:fill="FFFFFF"/>
        <w:spacing w:after="240" w:line="242" w:lineRule="atLeast"/>
        <w:jc w:val="both"/>
        <w:textAlignment w:val="baseline"/>
        <w:rPr>
          <w:rFonts w:cs="Arial"/>
          <w:color w:val="444444"/>
          <w:sz w:val="20"/>
          <w:szCs w:val="15"/>
        </w:rPr>
      </w:pPr>
      <w:r w:rsidRPr="00C701BB">
        <w:rPr>
          <w:rFonts w:cs="Arial"/>
          <w:color w:val="444444"/>
          <w:sz w:val="20"/>
          <w:szCs w:val="15"/>
        </w:rPr>
        <w:t>Explosionsgefährdete Bereiche werden nach der Wahrscheinlichkeit des Auftretens explosionsfähiger Atmosphäre in Zonen eingeteilt:</w:t>
      </w:r>
    </w:p>
    <w:p w:rsidR="000A7FBC" w:rsidRPr="00C701BB" w:rsidRDefault="002E7A6F">
      <w:pPr>
        <w:rPr>
          <w:rFonts w:cs="Arial"/>
        </w:rPr>
      </w:pPr>
      <w:r w:rsidRPr="00C701BB">
        <w:rPr>
          <w:rFonts w:cs="Arial"/>
          <w:noProof/>
        </w:rPr>
        <w:drawing>
          <wp:inline distT="0" distB="0" distL="0" distR="0">
            <wp:extent cx="5762625" cy="5572125"/>
            <wp:effectExtent l="19050" t="0" r="9525" b="0"/>
            <wp:docPr id="1" name="Bild 1" descr="http://www.roses-gmbh.de/wordpress/wp-content/themes/roses/images/ExZonenKlassifizier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roses-gmbh.de/wordpress/wp-content/themes/roses/images/ExZonenKlassifizieru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34" w:rsidRPr="00C701BB" w:rsidRDefault="00794734">
      <w:pPr>
        <w:spacing w:after="360" w:line="240" w:lineRule="auto"/>
        <w:rPr>
          <w:rFonts w:cs="Arial"/>
        </w:rPr>
      </w:pPr>
    </w:p>
    <w:sectPr w:rsidR="00794734" w:rsidRPr="00C701BB" w:rsidSect="009C1646">
      <w:headerReference w:type="default" r:id="rId8"/>
      <w:pgSz w:w="11906" w:h="16838" w:code="9"/>
      <w:pgMar w:top="2029" w:right="1134" w:bottom="993" w:left="170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34" w:rsidRDefault="00794734">
      <w:r>
        <w:separator/>
      </w:r>
    </w:p>
  </w:endnote>
  <w:endnote w:type="continuationSeparator" w:id="0">
    <w:p w:rsidR="00794734" w:rsidRDefault="0079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34" w:rsidRDefault="00794734">
      <w:r>
        <w:separator/>
      </w:r>
    </w:p>
  </w:footnote>
  <w:footnote w:type="continuationSeparator" w:id="0">
    <w:p w:rsidR="00794734" w:rsidRDefault="0079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08"/>
      <w:gridCol w:w="4464"/>
    </w:tblGrid>
    <w:tr w:rsidR="00C701BB" w:rsidTr="00C701BB">
      <w:trPr>
        <w:trHeight w:hRule="exact" w:val="737"/>
        <w:jc w:val="center"/>
      </w:trPr>
      <w:tc>
        <w:tcPr>
          <w:tcW w:w="4608" w:type="dxa"/>
          <w:vAlign w:val="center"/>
        </w:tcPr>
        <w:p w:rsidR="00C701BB" w:rsidRDefault="00C701BB">
          <w:pPr>
            <w:pStyle w:val="Kopfzeile"/>
            <w:spacing w:before="60" w:after="60" w:line="240" w:lineRule="auto"/>
            <w:jc w:val="center"/>
            <w:rPr>
              <w:b/>
            </w:rPr>
          </w:pPr>
          <w:r>
            <w:rPr>
              <w:b/>
            </w:rPr>
            <w:t xml:space="preserve">Explosionsschutz-Dokument </w:t>
          </w:r>
        </w:p>
      </w:tc>
      <w:tc>
        <w:tcPr>
          <w:tcW w:w="4464" w:type="dxa"/>
          <w:vAlign w:val="center"/>
        </w:tcPr>
        <w:p w:rsidR="00C701BB" w:rsidRPr="00C701BB" w:rsidRDefault="00C701BB" w:rsidP="00C701BB">
          <w:pPr>
            <w:pStyle w:val="Kopfzeile"/>
            <w:spacing w:before="60" w:after="60" w:line="240" w:lineRule="auto"/>
            <w:jc w:val="center"/>
            <w:rPr>
              <w:sz w:val="20"/>
            </w:rPr>
          </w:pPr>
          <w:r>
            <w:rPr>
              <w:sz w:val="20"/>
            </w:rPr>
            <w:t>Firma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……………</w:t>
          </w:r>
          <w:r>
            <w:rPr>
              <w:sz w:val="20"/>
            </w:rPr>
            <w:t>……………………</w:t>
          </w:r>
          <w:r>
            <w:rPr>
              <w:sz w:val="20"/>
            </w:rPr>
            <w:t>..…………..</w:t>
          </w:r>
        </w:p>
      </w:tc>
    </w:tr>
  </w:tbl>
  <w:p w:rsidR="000A7FBC" w:rsidRDefault="000A7FBC">
    <w:pPr>
      <w:pStyle w:val="Kopfzeile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D29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1BE72F6"/>
    <w:multiLevelType w:val="singleLevel"/>
    <w:tmpl w:val="9858E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B2E20F8"/>
    <w:multiLevelType w:val="singleLevel"/>
    <w:tmpl w:val="284A0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C235B7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0EB31021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5" w15:restartNumberingAfterBreak="0">
    <w:nsid w:val="0F1B3F79"/>
    <w:multiLevelType w:val="singleLevel"/>
    <w:tmpl w:val="55840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4D84B71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AC40986"/>
    <w:multiLevelType w:val="singleLevel"/>
    <w:tmpl w:val="60AC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E501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97FBB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0" w15:restartNumberingAfterBreak="0">
    <w:nsid w:val="2E7B66FD"/>
    <w:multiLevelType w:val="singleLevel"/>
    <w:tmpl w:val="2CFAC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2E861601"/>
    <w:multiLevelType w:val="singleLevel"/>
    <w:tmpl w:val="F8626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E02EA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318B64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31F11FAF"/>
    <w:multiLevelType w:val="singleLevel"/>
    <w:tmpl w:val="373EA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4FF5FA6"/>
    <w:multiLevelType w:val="hybridMultilevel"/>
    <w:tmpl w:val="4C6AD63A"/>
    <w:lvl w:ilvl="0" w:tplc="186C65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646A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DE743A"/>
    <w:multiLevelType w:val="singleLevel"/>
    <w:tmpl w:val="B61C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3A7E2613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4F844BA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51771727"/>
    <w:multiLevelType w:val="singleLevel"/>
    <w:tmpl w:val="A468C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48444D"/>
    <w:multiLevelType w:val="singleLevel"/>
    <w:tmpl w:val="7CA41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584C26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72897"/>
    <w:multiLevelType w:val="singleLevel"/>
    <w:tmpl w:val="7CA41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64CE6E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77006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DB659B"/>
    <w:multiLevelType w:val="singleLevel"/>
    <w:tmpl w:val="2CFAC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75564757"/>
    <w:multiLevelType w:val="singleLevel"/>
    <w:tmpl w:val="A274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79A0507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B913B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5"/>
  </w:num>
  <w:num w:numId="5">
    <w:abstractNumId w:val="13"/>
  </w:num>
  <w:num w:numId="6">
    <w:abstractNumId w:val="24"/>
  </w:num>
  <w:num w:numId="7">
    <w:abstractNumId w:val="3"/>
  </w:num>
  <w:num w:numId="8">
    <w:abstractNumId w:val="6"/>
  </w:num>
  <w:num w:numId="9">
    <w:abstractNumId w:val="0"/>
  </w:num>
  <w:num w:numId="10">
    <w:abstractNumId w:val="18"/>
  </w:num>
  <w:num w:numId="11">
    <w:abstractNumId w:val="28"/>
  </w:num>
  <w:num w:numId="12">
    <w:abstractNumId w:val="12"/>
  </w:num>
  <w:num w:numId="13">
    <w:abstractNumId w:val="19"/>
  </w:num>
  <w:num w:numId="14">
    <w:abstractNumId w:val="22"/>
  </w:num>
  <w:num w:numId="15">
    <w:abstractNumId w:val="29"/>
  </w:num>
  <w:num w:numId="16">
    <w:abstractNumId w:val="16"/>
  </w:num>
  <w:num w:numId="17">
    <w:abstractNumId w:val="26"/>
  </w:num>
  <w:num w:numId="18">
    <w:abstractNumId w:val="10"/>
  </w:num>
  <w:num w:numId="19">
    <w:abstractNumId w:val="20"/>
  </w:num>
  <w:num w:numId="20">
    <w:abstractNumId w:val="17"/>
  </w:num>
  <w:num w:numId="21">
    <w:abstractNumId w:val="7"/>
  </w:num>
  <w:num w:numId="22">
    <w:abstractNumId w:val="23"/>
  </w:num>
  <w:num w:numId="23">
    <w:abstractNumId w:val="21"/>
  </w:num>
  <w:num w:numId="24">
    <w:abstractNumId w:val="11"/>
  </w:num>
  <w:num w:numId="25">
    <w:abstractNumId w:val="1"/>
  </w:num>
  <w:num w:numId="26">
    <w:abstractNumId w:val="14"/>
  </w:num>
  <w:num w:numId="27">
    <w:abstractNumId w:val="5"/>
  </w:num>
  <w:num w:numId="28">
    <w:abstractNumId w:val="27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efaultTabStop w:val="708"/>
  <w:hyphenationZone w:val="22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F"/>
    <w:rsid w:val="000A7FBC"/>
    <w:rsid w:val="000D32CE"/>
    <w:rsid w:val="002E7A6F"/>
    <w:rsid w:val="00794734"/>
    <w:rsid w:val="009C1646"/>
    <w:rsid w:val="00C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3c700"/>
    </o:shapedefaults>
    <o:shapelayout v:ext="edit">
      <o:idmap v:ext="edit" data="1"/>
    </o:shapelayout>
  </w:shapeDefaults>
  <w:decimalSymbol w:val=","/>
  <w:listSeparator w:val=";"/>
  <w14:docId w14:val="0F260335"/>
  <w15:docId w15:val="{9BBDEFE0-3966-4E46-9DA9-1946EFB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-Zeileneinzug">
    <w:name w:val="Body Text Indent"/>
    <w:basedOn w:val="Standard"/>
    <w:semiHidden/>
    <w:pPr>
      <w:ind w:left="360"/>
    </w:pPr>
  </w:style>
  <w:style w:type="paragraph" w:styleId="Textkrper2">
    <w:name w:val="Body Text 2"/>
    <w:basedOn w:val="Standard"/>
    <w:semiHidden/>
    <w:pPr>
      <w:spacing w:before="480" w:after="1200"/>
    </w:pPr>
    <w:rPr>
      <w:sz w:val="24"/>
    </w:rPr>
  </w:style>
  <w:style w:type="paragraph" w:styleId="Textkrper3">
    <w:name w:val="Body Text 3"/>
    <w:basedOn w:val="Standard"/>
    <w:semiHidden/>
    <w:pPr>
      <w:spacing w:after="120"/>
      <w:jc w:val="both"/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Ex-Schutz-Dokument (Vordruck)</vt:lpstr>
    </vt:vector>
  </TitlesOfParts>
  <Company>BG Chemie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Ex-Schutz-Dokument (Vordruck)</dc:title>
  <dc:creator>Dr. Dyrba, Dr. Losert, Dr. Grimmeiß</dc:creator>
  <cp:lastModifiedBy>Daniela Herling</cp:lastModifiedBy>
  <cp:revision>3</cp:revision>
  <cp:lastPrinted>2017-04-06T09:05:00Z</cp:lastPrinted>
  <dcterms:created xsi:type="dcterms:W3CDTF">2019-08-09T08:56:00Z</dcterms:created>
  <dcterms:modified xsi:type="dcterms:W3CDTF">2019-08-09T08:56:00Z</dcterms:modified>
</cp:coreProperties>
</file>