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268D2" w:rsidRDefault="009D2F50" w:rsidP="00D268D2">
      <w:pPr>
        <w:pStyle w:val="Titel"/>
        <w:spacing w:line="276" w:lineRule="auto"/>
        <w:rPr>
          <w:rFonts w:cs="Arial"/>
          <w:sz w:val="24"/>
        </w:rPr>
      </w:pPr>
      <w:r w:rsidRPr="00D268D2">
        <w:rPr>
          <w:rFonts w:cs="Arial"/>
          <w:sz w:val="24"/>
        </w:rPr>
        <w:t>Checkliste zur Kündigung (allgemein)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jc w:val="center"/>
        <w:rPr>
          <w:rFonts w:ascii="Arial" w:hAnsi="Arial" w:cs="Arial"/>
          <w:b/>
        </w:rPr>
      </w:pPr>
      <w:r w:rsidRPr="00D268D2">
        <w:rPr>
          <w:rFonts w:ascii="Arial" w:hAnsi="Arial" w:cs="Arial"/>
          <w:b/>
        </w:rPr>
        <w:t>I</w:t>
      </w:r>
      <w:r w:rsidR="009D2F50" w:rsidRPr="00D268D2">
        <w:rPr>
          <w:rFonts w:ascii="Arial" w:hAnsi="Arial" w:cs="Arial"/>
          <w:b/>
        </w:rPr>
        <w:t>. Allgemeines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1. Welche Gründe für die beabsichtigte Beendigung des Arbeitsverhältnisses liegen vor?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pStyle w:val="Textkrper"/>
        <w:tabs>
          <w:tab w:val="clear" w:pos="3119"/>
        </w:tabs>
        <w:spacing w:line="276" w:lineRule="auto"/>
        <w:rPr>
          <w:rFonts w:cs="Arial"/>
        </w:rPr>
      </w:pPr>
      <w:r w:rsidRPr="00D268D2">
        <w:rPr>
          <w:rFonts w:cs="Arial"/>
        </w:rPr>
        <w:t>Der zur Kündigung berechtigende Sachverhalt sollte möglichst genau und sorgfältig ermittelt werden. Gegebenenfall</w:t>
      </w:r>
      <w:r w:rsidRPr="00D268D2">
        <w:rPr>
          <w:rFonts w:cs="Arial"/>
        </w:rPr>
        <w:t>s sollte der betreffende Arbeitnehmer vor Ausspruch der Kündigung zu diesem Sachverhalt angehört werden. Außerdem sollten eventuelle Beweismittel und Zeugen notiert sowie Urkunden aufbewahrt und der Vorfall schriftlich niedergelegt werden.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2. Kommen zur V</w:t>
      </w:r>
      <w:r w:rsidRPr="00D268D2">
        <w:rPr>
          <w:rFonts w:ascii="Arial" w:hAnsi="Arial" w:cs="Arial"/>
          <w:b/>
          <w:snapToGrid w:val="0"/>
        </w:rPr>
        <w:t>ermeidung einer Kündigung andere Maßnahmen in Betracht?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Abmahnung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Versetzung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Umschulung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Einvernehmlicher Aufhebungsvertrag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Eigenkündigung durch den Arbeitnehmer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3. Welche Art der Kündigung sollte gewählt werden?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Änderungskündigung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Ordentli</w:t>
      </w:r>
      <w:r w:rsidRPr="00D268D2">
        <w:rPr>
          <w:rFonts w:ascii="Arial" w:hAnsi="Arial" w:cs="Arial"/>
          <w:snapToGrid w:val="0"/>
        </w:rPr>
        <w:t>che (fristgemäße) Kündigung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Außerordentliche (fristlose) Kündigung</w:t>
      </w:r>
    </w:p>
    <w:p w:rsidR="00000000" w:rsidRDefault="009D2F50" w:rsidP="00D268D2">
      <w:pPr>
        <w:pStyle w:val="Kopfzeile"/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4. Allgemeine Wirksamkeitsvoraussetzungen</w:t>
      </w:r>
    </w:p>
    <w:p w:rsidR="00000000" w:rsidRPr="00D268D2" w:rsidRDefault="009D2F50" w:rsidP="00D268D2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Schriftform der Kündigung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Ist der Betriebsrat vor der Kündigung ordnungsgemäß beteiligt worden?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Ist der Kündigung ein etwaiger Widerspruc</w:t>
      </w:r>
      <w:r w:rsidRPr="00D268D2">
        <w:rPr>
          <w:rFonts w:ascii="Arial" w:hAnsi="Arial" w:cs="Arial"/>
          <w:snapToGrid w:val="0"/>
        </w:rPr>
        <w:t>h des Betriebsrats beigefügt worden?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5. Handelt es sich um eine anzeigepflichtige Massenentlassung?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6. Sind die praktischen Konsequenzen einer Kündigung ausreichend bedacht worden?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 xml:space="preserve">Prozessrisiko und </w:t>
      </w:r>
      <w:proofErr w:type="spellStart"/>
      <w:r w:rsidRPr="00D268D2">
        <w:rPr>
          <w:rFonts w:ascii="Arial" w:hAnsi="Arial" w:cs="Arial"/>
          <w:snapToGrid w:val="0"/>
        </w:rPr>
        <w:t>Kostentragungspflicht</w:t>
      </w:r>
      <w:proofErr w:type="spellEnd"/>
      <w:r w:rsidRPr="00D268D2">
        <w:rPr>
          <w:rFonts w:ascii="Arial" w:hAnsi="Arial" w:cs="Arial"/>
          <w:snapToGrid w:val="0"/>
        </w:rPr>
        <w:t xml:space="preserve"> vor dem Arbeitsgericht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Annah</w:t>
      </w:r>
      <w:r w:rsidRPr="00D268D2">
        <w:rPr>
          <w:rFonts w:ascii="Arial" w:hAnsi="Arial" w:cs="Arial"/>
          <w:snapToGrid w:val="0"/>
        </w:rPr>
        <w:t>meverzugslohnrisiko für die Dauer des Rechtsstreits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Soll der gekündigte Arbeitnehmer während der Kündigungsfrist beurlaubt oder freigestellt werden?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Soll zur Vermeidung des Annahmeverzugslohnrisikos ein Prozessrechtsbeschäftigungsverhältnis geschlossen</w:t>
      </w:r>
      <w:r w:rsidRPr="00D268D2">
        <w:rPr>
          <w:rFonts w:ascii="Arial" w:hAnsi="Arial" w:cs="Arial"/>
          <w:snapToGrid w:val="0"/>
        </w:rPr>
        <w:t xml:space="preserve"> werden?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Sind besondere Auswirkungen auf den Betrieb zu erwarten?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napToGrid w:val="0"/>
        </w:rPr>
        <w:br w:type="page"/>
      </w:r>
      <w:r w:rsidR="009D2F50" w:rsidRPr="00D268D2">
        <w:rPr>
          <w:rFonts w:ascii="Arial" w:hAnsi="Arial" w:cs="Arial"/>
          <w:b/>
        </w:rPr>
        <w:lastRenderedPageBreak/>
        <w:t>7. Sind die Hinweispflichten gemäß § 2 Abs. 2 Satz 2 Nr. 3 SGB III erfüllt?</w:t>
      </w:r>
    </w:p>
    <w:p w:rsidR="00000000" w:rsidRPr="00D268D2" w:rsidRDefault="009D2F50" w:rsidP="00D268D2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000000" w:rsidRPr="00D268D2" w:rsidRDefault="009D2F50" w:rsidP="00D268D2">
      <w:pPr>
        <w:pStyle w:val="Formatvorlage1"/>
        <w:spacing w:line="276" w:lineRule="auto"/>
        <w:ind w:left="426" w:hanging="426"/>
        <w:jc w:val="both"/>
        <w:rPr>
          <w:rFonts w:cs="Arial"/>
          <w:sz w:val="20"/>
        </w:rPr>
      </w:pPr>
      <w:r w:rsidRPr="00D268D2">
        <w:rPr>
          <w:rFonts w:cs="Arial"/>
          <w:snapToGrid w:val="0"/>
          <w:sz w:val="20"/>
        </w:rPr>
        <w:sym w:font="Symbol" w:char="F07F"/>
      </w:r>
      <w:r w:rsidRPr="00D268D2">
        <w:rPr>
          <w:rFonts w:cs="Arial"/>
          <w:sz w:val="20"/>
        </w:rPr>
        <w:t xml:space="preserve"> </w:t>
      </w:r>
      <w:r w:rsidR="00D268D2">
        <w:rPr>
          <w:rFonts w:cs="Arial"/>
          <w:sz w:val="20"/>
        </w:rPr>
        <w:tab/>
      </w:r>
      <w:r w:rsidRPr="00D268D2">
        <w:rPr>
          <w:rFonts w:cs="Arial"/>
          <w:sz w:val="20"/>
        </w:rPr>
        <w:t>Hinweis auf die Verpflichtung des Arbeitnehmers, sich unverzüglich (innerhalb von 3 Tagen) nach Erhalt der K</w:t>
      </w:r>
      <w:r w:rsidRPr="00D268D2">
        <w:rPr>
          <w:rFonts w:cs="Arial"/>
          <w:sz w:val="20"/>
        </w:rPr>
        <w:t>ündigung persönlich bei der Agentur für Arbeit arbeitssuchend zu melden, damit ihm seine eventuell bestehenden Arbeitsl</w:t>
      </w:r>
      <w:r w:rsidRPr="00D268D2">
        <w:rPr>
          <w:rFonts w:cs="Arial"/>
          <w:sz w:val="20"/>
        </w:rPr>
        <w:t>o</w:t>
      </w:r>
      <w:r w:rsidRPr="00D268D2">
        <w:rPr>
          <w:rFonts w:cs="Arial"/>
          <w:sz w:val="20"/>
        </w:rPr>
        <w:t>senunterstützungsansprüche ungekürzt erhalten bleiben.</w:t>
      </w:r>
    </w:p>
    <w:p w:rsidR="00000000" w:rsidRPr="00D268D2" w:rsidRDefault="009D2F50" w:rsidP="00D268D2">
      <w:pPr>
        <w:pStyle w:val="Formatvorlage1"/>
        <w:spacing w:line="276" w:lineRule="auto"/>
        <w:ind w:left="426" w:hanging="426"/>
        <w:jc w:val="both"/>
        <w:rPr>
          <w:rFonts w:cs="Arial"/>
          <w:sz w:val="20"/>
        </w:rPr>
      </w:pPr>
    </w:p>
    <w:p w:rsidR="00000000" w:rsidRPr="00D268D2" w:rsidRDefault="009D2F50" w:rsidP="00D268D2">
      <w:pPr>
        <w:pStyle w:val="Formatvorlage1"/>
        <w:spacing w:line="276" w:lineRule="auto"/>
        <w:ind w:left="426" w:hanging="426"/>
        <w:jc w:val="both"/>
        <w:rPr>
          <w:rFonts w:cs="Arial"/>
          <w:sz w:val="20"/>
        </w:rPr>
      </w:pPr>
      <w:r w:rsidRPr="00D268D2">
        <w:rPr>
          <w:rFonts w:cs="Arial"/>
          <w:snapToGrid w:val="0"/>
          <w:sz w:val="20"/>
        </w:rPr>
        <w:sym w:font="Symbol" w:char="F07F"/>
      </w:r>
      <w:r w:rsidRPr="00D268D2">
        <w:rPr>
          <w:rFonts w:cs="Arial"/>
          <w:sz w:val="20"/>
        </w:rPr>
        <w:t xml:space="preserve"> </w:t>
      </w:r>
      <w:r w:rsidR="00D268D2">
        <w:rPr>
          <w:rFonts w:cs="Arial"/>
          <w:sz w:val="20"/>
        </w:rPr>
        <w:tab/>
      </w:r>
      <w:r w:rsidRPr="00D268D2">
        <w:rPr>
          <w:rFonts w:cs="Arial"/>
          <w:sz w:val="20"/>
        </w:rPr>
        <w:t>Hinweis auf die Verpflichtung des Arbeitnehmers, dass dieser sich zudem auch s</w:t>
      </w:r>
      <w:r w:rsidRPr="00D268D2">
        <w:rPr>
          <w:rFonts w:cs="Arial"/>
          <w:sz w:val="20"/>
        </w:rPr>
        <w:t>elbst eine neue Beschäftigung suchen muss.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jc w:val="center"/>
        <w:rPr>
          <w:rFonts w:ascii="Arial" w:hAnsi="Arial" w:cs="Arial"/>
          <w:b/>
        </w:rPr>
      </w:pPr>
      <w:r w:rsidRPr="00D268D2">
        <w:rPr>
          <w:rFonts w:ascii="Arial" w:hAnsi="Arial" w:cs="Arial"/>
          <w:b/>
        </w:rPr>
        <w:t>II.</w:t>
      </w:r>
      <w:r w:rsidR="009D2F50" w:rsidRPr="00D268D2">
        <w:rPr>
          <w:rFonts w:ascii="Arial" w:hAnsi="Arial" w:cs="Arial"/>
          <w:b/>
        </w:rPr>
        <w:t xml:space="preserve"> Ordentliche (fristgemäße) Kündigung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1. Greift der allgemeine Kündigungsschutz ein?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pStyle w:val="Textkrper"/>
        <w:spacing w:line="276" w:lineRule="auto"/>
        <w:rPr>
          <w:rFonts w:cs="Arial"/>
        </w:rPr>
      </w:pPr>
      <w:r w:rsidRPr="00D268D2">
        <w:rPr>
          <w:rFonts w:cs="Arial"/>
        </w:rPr>
        <w:t>In Betrieben, in denen regelmäßig mehr als zehn Arbeitnehmer (ohne Auszubildende) beschäftigt werden, findet das Kündigungs</w:t>
      </w:r>
      <w:r w:rsidRPr="00D268D2">
        <w:rPr>
          <w:rFonts w:cs="Arial"/>
        </w:rPr>
        <w:t>schutzgesetz (KSchG) Anwendung. Für Arbeitnehmer, deren Beschäftigungsverhältnis bereits am 31.12.2003 bestand (sog. Alt-Arbeitnehmer), ist jedoch zu beachten, dass die vor dem 01.01.2004 gültige Regelung Bestand hat, nach der der Kündigungsschutz gemäß de</w:t>
      </w:r>
      <w:r w:rsidRPr="00D268D2">
        <w:rPr>
          <w:rFonts w:cs="Arial"/>
        </w:rPr>
        <w:t>m KSchG bereits ab einer Beschäftigtenzahl von mehr als fünf Arbeitnehmern (ohne Ausz</w:t>
      </w:r>
      <w:r w:rsidRPr="00D268D2">
        <w:rPr>
          <w:rFonts w:cs="Arial"/>
        </w:rPr>
        <w:t>u</w:t>
      </w:r>
      <w:r w:rsidRPr="00D268D2">
        <w:rPr>
          <w:rFonts w:cs="Arial"/>
        </w:rPr>
        <w:t>bildende) eingreift, jedoch nur, solange die Anzahl der Alt-Arbeitnehmer im Betrieb mindestens mehr als fünf beträgt.</w:t>
      </w:r>
    </w:p>
    <w:p w:rsidR="00000000" w:rsidRPr="00D268D2" w:rsidRDefault="009D2F50" w:rsidP="00D268D2">
      <w:pPr>
        <w:pStyle w:val="Textkrper"/>
        <w:spacing w:line="276" w:lineRule="auto"/>
        <w:rPr>
          <w:rFonts w:cs="Arial"/>
        </w:rPr>
      </w:pPr>
    </w:p>
    <w:p w:rsidR="00000000" w:rsidRPr="00D268D2" w:rsidRDefault="009D2F50" w:rsidP="00D268D2">
      <w:pPr>
        <w:pStyle w:val="Textkrper"/>
        <w:spacing w:line="276" w:lineRule="auto"/>
        <w:rPr>
          <w:rFonts w:cs="Arial"/>
        </w:rPr>
      </w:pPr>
      <w:r w:rsidRPr="00D268D2">
        <w:rPr>
          <w:rFonts w:cs="Arial"/>
        </w:rPr>
        <w:t>Die Anwendung des KSchG bedeutet, dass Arbeitnehmer</w:t>
      </w:r>
      <w:r w:rsidRPr="00D268D2">
        <w:rPr>
          <w:rFonts w:cs="Arial"/>
        </w:rPr>
        <w:t xml:space="preserve">, die </w:t>
      </w:r>
      <w:r w:rsidR="00D268D2">
        <w:rPr>
          <w:rFonts w:cs="Arial"/>
        </w:rPr>
        <w:t>länger als sechs Monate ununter</w:t>
      </w:r>
      <w:r w:rsidRPr="00D268D2">
        <w:rPr>
          <w:rFonts w:cs="Arial"/>
        </w:rPr>
        <w:t>brochen in diesem Betrieb tätig waren, nur noch gekündigt werden dürfen, wenn die Kündigung sozial gerechtfertigt ist.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pStyle w:val="Textkrper"/>
        <w:tabs>
          <w:tab w:val="clear" w:pos="3119"/>
        </w:tabs>
        <w:spacing w:line="276" w:lineRule="auto"/>
        <w:rPr>
          <w:rFonts w:cs="Arial"/>
        </w:rPr>
      </w:pPr>
      <w:r w:rsidRPr="00D268D2">
        <w:rPr>
          <w:rFonts w:cs="Arial"/>
        </w:rPr>
        <w:t xml:space="preserve">Daher sollte das Arbeitsverhalten von neu eingestellten Mitarbeitern vor allem während der ersten </w:t>
      </w:r>
      <w:r w:rsidRPr="00D268D2">
        <w:rPr>
          <w:rFonts w:cs="Arial"/>
        </w:rPr>
        <w:t xml:space="preserve">sechs Monate </w:t>
      </w:r>
      <w:r w:rsidR="00D268D2">
        <w:rPr>
          <w:rFonts w:cs="Arial"/>
        </w:rPr>
        <w:t>–</w:t>
      </w:r>
      <w:r w:rsidRPr="00D268D2">
        <w:rPr>
          <w:rFonts w:cs="Arial"/>
        </w:rPr>
        <w:t xml:space="preserve"> au</w:t>
      </w:r>
      <w:r w:rsidRPr="00D268D2">
        <w:rPr>
          <w:rFonts w:cs="Arial"/>
        </w:rPr>
        <w:t xml:space="preserve">ch über eine eventuell kürzere Probezeit hinaus </w:t>
      </w:r>
      <w:r w:rsidR="00D268D2">
        <w:rPr>
          <w:rFonts w:cs="Arial"/>
        </w:rPr>
        <w:t>–</w:t>
      </w:r>
      <w:r w:rsidRPr="00D268D2">
        <w:rPr>
          <w:rFonts w:cs="Arial"/>
        </w:rPr>
        <w:t xml:space="preserve"> a</w:t>
      </w:r>
      <w:r w:rsidRPr="00D268D2">
        <w:rPr>
          <w:rFonts w:cs="Arial"/>
        </w:rPr>
        <w:t>ufmerksam verfolgt werden, um sich nicht unnötigerweise den Risiken einer anschließend nur noch nach dem KSchG möglichen erschwerten Kündigung auszusetzen. Sofern ernsthafte Zweifel an der</w:t>
      </w:r>
      <w:r w:rsidRPr="00D268D2">
        <w:rPr>
          <w:rFonts w:cs="Arial"/>
        </w:rPr>
        <w:t xml:space="preserve"> Leistungsfähigkeit oder -willigkeit eines Arbeitnehmers bestehen, sollte dem Arbeitnehmer vor Ablauf der sechsmonatigen Frist nach § 1 Abs. 1 KSchG gekündigt werden, wobei sichergestellt werden muss, dass diesem die Kündigung vor Ablauf der Sechsmonatsfri</w:t>
      </w:r>
      <w:r w:rsidRPr="00D268D2">
        <w:rPr>
          <w:rFonts w:cs="Arial"/>
        </w:rPr>
        <w:t>st zugeht.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2. Voraussetzungen des allgemeinen Kündigungsschutzes nach dem KSchG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Ist die Kündigung sozial gerechtfertigt?</w:t>
      </w:r>
    </w:p>
    <w:p w:rsidR="00000000" w:rsidRPr="00D268D2" w:rsidRDefault="009D2F50" w:rsidP="00D268D2">
      <w:pPr>
        <w:spacing w:line="276" w:lineRule="auto"/>
        <w:ind w:left="851" w:hanging="425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personenbedingt</w:t>
      </w:r>
    </w:p>
    <w:p w:rsidR="00000000" w:rsidRPr="00D268D2" w:rsidRDefault="009D2F50" w:rsidP="00D268D2">
      <w:pPr>
        <w:spacing w:line="276" w:lineRule="auto"/>
        <w:ind w:left="851" w:hanging="425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verhaltensbedingt</w:t>
      </w:r>
    </w:p>
    <w:p w:rsidR="00000000" w:rsidRPr="00D268D2" w:rsidRDefault="009D2F50" w:rsidP="00D268D2">
      <w:pPr>
        <w:spacing w:line="276" w:lineRule="auto"/>
        <w:ind w:left="851" w:hanging="425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betriebsbedingt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Ist bei betriebsbedingten Kündigungen die richtige Sozialauswahl getr</w:t>
      </w:r>
      <w:r w:rsidRPr="00D268D2">
        <w:rPr>
          <w:rFonts w:ascii="Arial" w:hAnsi="Arial" w:cs="Arial"/>
          <w:snapToGrid w:val="0"/>
        </w:rPr>
        <w:t>offen worden?</w:t>
      </w:r>
    </w:p>
    <w:p w:rsidR="00000000" w:rsidRPr="00D268D2" w:rsidRDefault="009D2F50" w:rsidP="00D268D2">
      <w:pPr>
        <w:pStyle w:val="Textkrper-Einzug3"/>
        <w:spacing w:line="276" w:lineRule="auto"/>
        <w:ind w:left="426"/>
        <w:rPr>
          <w:rFonts w:cs="Arial"/>
        </w:rPr>
      </w:pPr>
      <w:r w:rsidRPr="00D268D2">
        <w:rPr>
          <w:rFonts w:cs="Arial"/>
        </w:rPr>
        <w:t xml:space="preserve">Hier ist zu prüfen, ob nicht andere Arbeitnehmer vorrangig zu kündigen wären. Dies beurteilt sich </w:t>
      </w:r>
      <w:r w:rsidRPr="00D268D2">
        <w:rPr>
          <w:rFonts w:cs="Arial"/>
        </w:rPr>
        <w:t xml:space="preserve">nach </w:t>
      </w:r>
      <w:r w:rsidR="00D268D2">
        <w:rPr>
          <w:rFonts w:cs="Arial"/>
        </w:rPr>
        <w:t xml:space="preserve">den </w:t>
      </w:r>
      <w:r w:rsidRPr="00D268D2">
        <w:rPr>
          <w:rFonts w:cs="Arial"/>
        </w:rPr>
        <w:t>folgenden Grunddaten: Beschäftigungsdauer, Lebensalter, Unterhaltsverpflichtungen, Schwerbehinderung. Ein Arbeit</w:t>
      </w:r>
      <w:r w:rsidRPr="00D268D2">
        <w:rPr>
          <w:rFonts w:cs="Arial"/>
        </w:rPr>
        <w:t>nehmer kann jedoch von der Sozialauswahl ausgenommen werden, falls seine Weiterbeschäftigung wegen seiner Kenntnisse und Leistungen oder zur Erhaltung einer ausgewogenen Personalstruktur im berechtigten betrieblichen Interesse liegt.</w:t>
      </w:r>
    </w:p>
    <w:p w:rsidR="00000000" w:rsidRDefault="009D2F50" w:rsidP="00D268D2">
      <w:pPr>
        <w:spacing w:line="276" w:lineRule="auto"/>
        <w:ind w:left="426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snapToGrid w:val="0"/>
        </w:rPr>
        <w:br w:type="page"/>
      </w:r>
      <w:r w:rsidR="009D2F50" w:rsidRPr="00D268D2">
        <w:rPr>
          <w:rFonts w:ascii="Arial" w:hAnsi="Arial" w:cs="Arial"/>
          <w:b/>
          <w:snapToGrid w:val="0"/>
        </w:rPr>
        <w:lastRenderedPageBreak/>
        <w:t>3. Fälle des besonder</w:t>
      </w:r>
      <w:r w:rsidR="009D2F50" w:rsidRPr="00D268D2">
        <w:rPr>
          <w:rFonts w:ascii="Arial" w:hAnsi="Arial" w:cs="Arial"/>
          <w:b/>
          <w:snapToGrid w:val="0"/>
        </w:rPr>
        <w:t>en Kündigungsschutzes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tabs>
          <w:tab w:val="left" w:pos="2127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Schwerbehinderung (liegt die vorherige Zustimmung des Integrationsamtes vor?)</w:t>
      </w:r>
    </w:p>
    <w:p w:rsidR="00000000" w:rsidRPr="00D268D2" w:rsidRDefault="009D2F50" w:rsidP="00D268D2">
      <w:pPr>
        <w:tabs>
          <w:tab w:val="left" w:pos="2127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Mutterschutz (Kündigung grundsätzlich ausgeschlossen)</w:t>
      </w:r>
    </w:p>
    <w:p w:rsidR="00000000" w:rsidRPr="00D268D2" w:rsidRDefault="009D2F50" w:rsidP="00D268D2">
      <w:pPr>
        <w:tabs>
          <w:tab w:val="left" w:pos="2127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Wehr-, Zivildienst (Kündigung grundsätzlich ausgeschlossen)</w:t>
      </w:r>
    </w:p>
    <w:p w:rsidR="00000000" w:rsidRPr="00D268D2" w:rsidRDefault="009D2F50" w:rsidP="00D268D2">
      <w:pPr>
        <w:tabs>
          <w:tab w:val="left" w:pos="2127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Auszubildender (Kündigung nach Ab</w:t>
      </w:r>
      <w:r w:rsidRPr="00D268D2">
        <w:rPr>
          <w:rFonts w:ascii="Arial" w:hAnsi="Arial" w:cs="Arial"/>
          <w:snapToGrid w:val="0"/>
        </w:rPr>
        <w:t>lauf der Probezeit grundsätzlich ausgeschlossen)</w:t>
      </w:r>
    </w:p>
    <w:p w:rsidR="00000000" w:rsidRPr="00D268D2" w:rsidRDefault="009D2F50" w:rsidP="00D268D2">
      <w:pPr>
        <w:tabs>
          <w:tab w:val="left" w:pos="2127"/>
          <w:tab w:val="left" w:pos="4536"/>
        </w:tabs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Betriebsratsmitglied (Kündigung grundsätzlich ausgeschlossen)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4. Kündigungsfrist</w:t>
      </w: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Welche Kündigungsfrist ist einzuhalten? .........................................................................</w:t>
      </w:r>
      <w:r w:rsidR="00D268D2">
        <w:rPr>
          <w:rFonts w:ascii="Arial" w:hAnsi="Arial" w:cs="Arial"/>
          <w:snapToGrid w:val="0"/>
        </w:rPr>
        <w:t>.................</w:t>
      </w:r>
    </w:p>
    <w:p w:rsid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 xml:space="preserve">Bestehen abweichende tarifliche oder vertragliche Regelungen? </w:t>
      </w:r>
    </w:p>
    <w:p w:rsidR="00000000" w:rsidRPr="00D268D2" w:rsidRDefault="009D2F50" w:rsidP="00D268D2">
      <w:pPr>
        <w:spacing w:line="276" w:lineRule="auto"/>
        <w:ind w:left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t>Wenn ja, welche?</w:t>
      </w:r>
    </w:p>
    <w:p w:rsidR="00000000" w:rsidRPr="00D268D2" w:rsidRDefault="009D2F50" w:rsidP="00D268D2">
      <w:pPr>
        <w:spacing w:line="276" w:lineRule="auto"/>
        <w:ind w:left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</w:t>
      </w:r>
      <w:r w:rsidR="00D268D2">
        <w:rPr>
          <w:rFonts w:ascii="Arial" w:hAnsi="Arial" w:cs="Arial"/>
          <w:snapToGrid w:val="0"/>
        </w:rPr>
        <w:t>.........................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Besteht eine Probezeit mit verkürzter Kündigungsfrist?</w:t>
      </w:r>
    </w:p>
    <w:p w:rsidR="00000000" w:rsidRPr="00D268D2" w:rsidRDefault="009D2F50" w:rsidP="00D268D2">
      <w:pPr>
        <w:spacing w:line="276" w:lineRule="auto"/>
        <w:ind w:left="426" w:hanging="426"/>
        <w:jc w:val="both"/>
        <w:rPr>
          <w:rFonts w:ascii="Arial" w:hAnsi="Arial" w:cs="Arial"/>
          <w:snapToGrid w:val="0"/>
        </w:rPr>
      </w:pPr>
      <w:r w:rsidRPr="00D268D2">
        <w:rPr>
          <w:rFonts w:ascii="Arial" w:hAnsi="Arial" w:cs="Arial"/>
          <w:snapToGrid w:val="0"/>
        </w:rPr>
        <w:sym w:font="Symbol" w:char="F07F"/>
      </w:r>
      <w:r w:rsidRPr="00D268D2">
        <w:rPr>
          <w:rFonts w:ascii="Arial" w:hAnsi="Arial" w:cs="Arial"/>
          <w:snapToGrid w:val="0"/>
        </w:rPr>
        <w:t xml:space="preserve"> </w:t>
      </w:r>
      <w:r w:rsidR="00D268D2">
        <w:rPr>
          <w:rFonts w:ascii="Arial" w:hAnsi="Arial" w:cs="Arial"/>
          <w:snapToGrid w:val="0"/>
        </w:rPr>
        <w:tab/>
      </w:r>
      <w:r w:rsidRPr="00D268D2">
        <w:rPr>
          <w:rFonts w:ascii="Arial" w:hAnsi="Arial" w:cs="Arial"/>
          <w:snapToGrid w:val="0"/>
        </w:rPr>
        <w:t>Wann muss die Kündigung zur Fristwahrung spätestens zugegangen sein?</w:t>
      </w:r>
    </w:p>
    <w:p w:rsidR="00000000" w:rsidRPr="00D268D2" w:rsidRDefault="009D2F50" w:rsidP="00D268D2">
      <w:pPr>
        <w:tabs>
          <w:tab w:val="left" w:pos="2552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jc w:val="center"/>
        <w:rPr>
          <w:rFonts w:ascii="Arial" w:hAnsi="Arial" w:cs="Arial"/>
          <w:b/>
        </w:rPr>
      </w:pPr>
      <w:r w:rsidRPr="00D268D2">
        <w:rPr>
          <w:rFonts w:ascii="Arial" w:hAnsi="Arial" w:cs="Arial"/>
          <w:b/>
        </w:rPr>
        <w:t>III.</w:t>
      </w:r>
      <w:r w:rsidR="009D2F50" w:rsidRPr="00D268D2">
        <w:rPr>
          <w:rFonts w:ascii="Arial" w:hAnsi="Arial" w:cs="Arial"/>
          <w:b/>
        </w:rPr>
        <w:t xml:space="preserve"> Außerordentliche (fristlose) Kündigung</w:t>
      </w:r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1. Liegt ein wichtiger Grund zur Kündigung vor</w:t>
      </w:r>
    </w:p>
    <w:p w:rsid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</w:t>
      </w:r>
      <w:r w:rsidR="009D2F50" w:rsidRPr="00D268D2">
        <w:rPr>
          <w:rFonts w:ascii="Arial" w:hAnsi="Arial" w:cs="Arial"/>
          <w:snapToGrid w:val="0"/>
        </w:rPr>
        <w:t>. B. strafbare Handlung des Arbei</w:t>
      </w:r>
      <w:r w:rsidR="009D2F50" w:rsidRPr="00D268D2">
        <w:rPr>
          <w:rFonts w:ascii="Arial" w:hAnsi="Arial" w:cs="Arial"/>
          <w:snapToGrid w:val="0"/>
        </w:rPr>
        <w:t>tnehmers, die sich auf das Arbeitsverhältnis bezieht; beharrliche Pflichtverletzung</w:t>
      </w:r>
      <w:bookmarkStart w:id="0" w:name="_GoBack"/>
      <w:bookmarkEnd w:id="0"/>
    </w:p>
    <w:p w:rsidR="00000000" w:rsidRDefault="009D2F50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tabs>
          <w:tab w:val="left" w:pos="3402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2. Sind die Kündigungsgründe noch nicht länger als zwei Wochen bekannt?</w:t>
      </w:r>
    </w:p>
    <w:p w:rsidR="00D268D2" w:rsidRDefault="00D268D2" w:rsidP="00D268D2">
      <w:pPr>
        <w:pStyle w:val="Textkrper-Einzug3"/>
        <w:spacing w:line="276" w:lineRule="auto"/>
        <w:ind w:left="0"/>
        <w:rPr>
          <w:rFonts w:cs="Arial"/>
        </w:rPr>
      </w:pPr>
    </w:p>
    <w:p w:rsidR="00000000" w:rsidRPr="00D268D2" w:rsidRDefault="009D2F50" w:rsidP="00D268D2">
      <w:pPr>
        <w:pStyle w:val="Textkrper-Einzug3"/>
        <w:spacing w:line="276" w:lineRule="auto"/>
        <w:ind w:left="0"/>
        <w:rPr>
          <w:rFonts w:cs="Arial"/>
        </w:rPr>
      </w:pPr>
      <w:r w:rsidRPr="00D268D2">
        <w:rPr>
          <w:rFonts w:cs="Arial"/>
        </w:rPr>
        <w:t>Die außerordentliche Kündigung kann grundsätzlich nur innerhalb von zwei Wochen nach Erlangung der</w:t>
      </w:r>
      <w:r w:rsidRPr="00D268D2">
        <w:rPr>
          <w:rFonts w:cs="Arial"/>
        </w:rPr>
        <w:t xml:space="preserve"> Kenntnis der zur Kündigung berechtigenden Tatsachen erfolgen.</w:t>
      </w:r>
    </w:p>
    <w:p w:rsidR="00000000" w:rsidRDefault="009D2F50" w:rsidP="00D268D2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D268D2" w:rsidRPr="00D268D2" w:rsidRDefault="00D268D2" w:rsidP="00D268D2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</w:rPr>
      </w:pPr>
    </w:p>
    <w:p w:rsidR="00000000" w:rsidRPr="00D268D2" w:rsidRDefault="009D2F50" w:rsidP="00D268D2">
      <w:pPr>
        <w:spacing w:line="276" w:lineRule="auto"/>
        <w:jc w:val="both"/>
        <w:rPr>
          <w:rFonts w:ascii="Arial" w:hAnsi="Arial" w:cs="Arial"/>
          <w:b/>
          <w:snapToGrid w:val="0"/>
        </w:rPr>
      </w:pPr>
      <w:r w:rsidRPr="00D268D2">
        <w:rPr>
          <w:rFonts w:ascii="Arial" w:hAnsi="Arial" w:cs="Arial"/>
          <w:b/>
          <w:snapToGrid w:val="0"/>
        </w:rPr>
        <w:t>3. Soll vorsorglich auch fristgerecht zum nächsten zulässigen Zeitpunkt gekündigt werden?</w:t>
      </w:r>
    </w:p>
    <w:sectPr w:rsidR="00000000" w:rsidRPr="00D268D2">
      <w:pgSz w:w="11913" w:h="16834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D2F50">
      <w:r>
        <w:separator/>
      </w:r>
    </w:p>
  </w:endnote>
  <w:endnote w:type="continuationSeparator" w:id="0">
    <w:p w:rsidR="00000000" w:rsidRDefault="009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D2F50">
      <w:r>
        <w:separator/>
      </w:r>
    </w:p>
  </w:footnote>
  <w:footnote w:type="continuationSeparator" w:id="0">
    <w:p w:rsidR="00000000" w:rsidRDefault="009D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C3C"/>
    <w:multiLevelType w:val="hybridMultilevel"/>
    <w:tmpl w:val="E236B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55553"/>
    <w:multiLevelType w:val="singleLevel"/>
    <w:tmpl w:val="1E700D4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B9F245A"/>
    <w:multiLevelType w:val="hybridMultilevel"/>
    <w:tmpl w:val="A4F004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F92"/>
    <w:multiLevelType w:val="singleLevel"/>
    <w:tmpl w:val="11568EF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D2"/>
    <w:rsid w:val="009D2F50"/>
    <w:rsid w:val="00D2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FA61AD"/>
  <w15:chartTrackingRefBased/>
  <w15:docId w15:val="{A706DDB5-D0DA-4AFD-A3DD-F508547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napToGrid w:val="0"/>
      <w:color w:val="FF0000"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napToGrid w:val="0"/>
      <w:sz w:val="22"/>
    </w:rPr>
  </w:style>
  <w:style w:type="paragraph" w:styleId="Textkrper-Zeileneinzug">
    <w:name w:val="Body Text Indent"/>
    <w:basedOn w:val="Standard"/>
    <w:semiHidden/>
    <w:pPr>
      <w:ind w:left="567"/>
      <w:jc w:val="both"/>
    </w:pPr>
    <w:rPr>
      <w:rFonts w:ascii="Arial" w:hAnsi="Arial"/>
      <w:snapToGrid w:val="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semiHidden/>
    <w:pPr>
      <w:tabs>
        <w:tab w:val="left" w:pos="2552"/>
      </w:tabs>
      <w:ind w:left="2552"/>
      <w:jc w:val="both"/>
    </w:pPr>
    <w:rPr>
      <w:rFonts w:ascii="Arial" w:hAnsi="Arial"/>
      <w:snapToGrid w:val="0"/>
    </w:rPr>
  </w:style>
  <w:style w:type="paragraph" w:styleId="Textkrper">
    <w:name w:val="Body Text"/>
    <w:basedOn w:val="Standard"/>
    <w:semiHidden/>
    <w:pPr>
      <w:tabs>
        <w:tab w:val="left" w:pos="3119"/>
      </w:tabs>
      <w:jc w:val="both"/>
    </w:pPr>
    <w:rPr>
      <w:rFonts w:ascii="Arial" w:hAnsi="Arial"/>
      <w:snapToGrid w:val="0"/>
    </w:rPr>
  </w:style>
  <w:style w:type="paragraph" w:styleId="Textkrper-Einzug3">
    <w:name w:val="Body Text Indent 3"/>
    <w:basedOn w:val="Standard"/>
    <w:semiHidden/>
    <w:pPr>
      <w:ind w:left="708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Betriebsbedingte Kündigung - Checkliste</vt:lpstr>
    </vt:vector>
  </TitlesOfParts>
  <Company>HAWIS GmbH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Betriebsbedingte Kündigung - Checkliste</dc:title>
  <dc:subject/>
  <dc:creator>Mertens</dc:creator>
  <cp:keywords/>
  <cp:lastModifiedBy>Daniela Herling</cp:lastModifiedBy>
  <cp:revision>2</cp:revision>
  <cp:lastPrinted>2009-05-12T09:32:00Z</cp:lastPrinted>
  <dcterms:created xsi:type="dcterms:W3CDTF">2019-07-23T13:04:00Z</dcterms:created>
  <dcterms:modified xsi:type="dcterms:W3CDTF">2019-07-23T13:04:00Z</dcterms:modified>
</cp:coreProperties>
</file>