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AB" w:rsidRPr="007720CF" w:rsidRDefault="00630636" w:rsidP="007720CF">
      <w:pPr>
        <w:pStyle w:val="Titel"/>
        <w:spacing w:line="276" w:lineRule="auto"/>
        <w:rPr>
          <w:b/>
          <w:sz w:val="24"/>
        </w:rPr>
      </w:pPr>
      <w:r w:rsidRPr="007720CF">
        <w:rPr>
          <w:b/>
          <w:sz w:val="24"/>
        </w:rPr>
        <w:t>Checkliste zur Abmahnung</w:t>
      </w:r>
    </w:p>
    <w:p w:rsidR="00D967AB" w:rsidRDefault="00D967AB" w:rsidP="007720CF">
      <w:pPr>
        <w:spacing w:line="276" w:lineRule="auto"/>
        <w:jc w:val="both"/>
        <w:rPr>
          <w:sz w:val="20"/>
        </w:rPr>
      </w:pPr>
    </w:p>
    <w:p w:rsidR="007720CF" w:rsidRPr="007720CF" w:rsidRDefault="007720CF" w:rsidP="007720CF">
      <w:pPr>
        <w:spacing w:line="276" w:lineRule="auto"/>
        <w:jc w:val="both"/>
        <w:rPr>
          <w:sz w:val="20"/>
        </w:rPr>
      </w:pP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630636" w:rsidP="007720CF">
      <w:pPr>
        <w:spacing w:line="276" w:lineRule="auto"/>
        <w:ind w:left="709" w:hanging="709"/>
        <w:jc w:val="both"/>
        <w:rPr>
          <w:sz w:val="20"/>
        </w:rPr>
      </w:pPr>
      <w:r w:rsidRPr="007720CF">
        <w:rPr>
          <w:sz w:val="20"/>
        </w:rPr>
        <w:t xml:space="preserve">1. </w:t>
      </w:r>
      <w:r w:rsidR="007720CF">
        <w:rPr>
          <w:sz w:val="20"/>
        </w:rPr>
        <w:tab/>
      </w:r>
      <w:r w:rsidRPr="007720CF">
        <w:rPr>
          <w:sz w:val="20"/>
        </w:rPr>
        <w:t>Voraussetzung für eine Kündigung wegen Beanstandungen im Leistungs- oder Verhaltensbereich des Arbeitnehmers ist die förmliche Abmahnung. Ohne vorherige Abmahnung wird eine verhaltensbedingte Kündigung in der Regel als unwirksam angesehen.</w:t>
      </w: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7720CF" w:rsidP="007720CF">
      <w:pPr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630636" w:rsidRPr="007720CF">
        <w:rPr>
          <w:sz w:val="20"/>
        </w:rPr>
        <w:t>Die Abmahnung ist als solche deutlich</w:t>
      </w:r>
      <w:r>
        <w:rPr>
          <w:sz w:val="20"/>
        </w:rPr>
        <w:t xml:space="preserve"> und unmissverständlich</w:t>
      </w:r>
      <w:r w:rsidR="00630636" w:rsidRPr="007720CF">
        <w:rPr>
          <w:sz w:val="20"/>
        </w:rPr>
        <w:t xml:space="preserve"> zu bezeichnen.</w:t>
      </w: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7720CF" w:rsidP="007720CF">
      <w:pPr>
        <w:pStyle w:val="Textkrper"/>
        <w:spacing w:line="276" w:lineRule="auto"/>
        <w:ind w:left="567" w:hanging="567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630636" w:rsidRPr="007720CF">
        <w:rPr>
          <w:sz w:val="20"/>
        </w:rPr>
        <w:t>Das beanstandete Verhalten ist so konkret w</w:t>
      </w:r>
      <w:r>
        <w:rPr>
          <w:sz w:val="20"/>
        </w:rPr>
        <w:t>ie möglich darzustellen. Voraus</w:t>
      </w:r>
      <w:r w:rsidR="00630636" w:rsidRPr="007720CF">
        <w:rPr>
          <w:sz w:val="20"/>
        </w:rPr>
        <w:t>setzung für eine Abmahnung ist, da</w:t>
      </w:r>
      <w:r>
        <w:rPr>
          <w:sz w:val="20"/>
        </w:rPr>
        <w:t>ss</w:t>
      </w:r>
      <w:r w:rsidR="00630636" w:rsidRPr="007720CF">
        <w:rPr>
          <w:sz w:val="20"/>
        </w:rPr>
        <w:t xml:space="preserve"> das beanstandete Verhalten eine vertragliche Relevanz entweder aufgrund der Schwere oder der Häufigkeit des Vorfalls hat.</w:t>
      </w: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7720CF" w:rsidP="007720CF">
      <w:pPr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630636" w:rsidRPr="007720CF">
        <w:rPr>
          <w:sz w:val="20"/>
        </w:rPr>
        <w:t xml:space="preserve">Die arbeitsrechtliche </w:t>
      </w:r>
      <w:r>
        <w:rPr>
          <w:sz w:val="20"/>
        </w:rPr>
        <w:t>Konsequenz bei erneutem Fehlverhalten muss</w:t>
      </w:r>
      <w:r w:rsidR="00630636" w:rsidRPr="007720CF">
        <w:rPr>
          <w:sz w:val="20"/>
        </w:rPr>
        <w:t xml:space="preserve"> angedroht werden</w:t>
      </w:r>
      <w:r>
        <w:rPr>
          <w:sz w:val="20"/>
        </w:rPr>
        <w:t xml:space="preserve"> </w:t>
      </w:r>
      <w:r>
        <w:rPr>
          <w:sz w:val="20"/>
        </w:rPr>
        <w:t>(z. B. Kündigung)</w:t>
      </w:r>
      <w:r w:rsidR="00630636" w:rsidRPr="007720CF">
        <w:rPr>
          <w:sz w:val="20"/>
        </w:rPr>
        <w:t>.</w:t>
      </w: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7720CF" w:rsidP="007720CF">
      <w:pPr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630636" w:rsidRPr="007720CF">
        <w:rPr>
          <w:sz w:val="20"/>
        </w:rPr>
        <w:t>Eine Durchschrift der Abmahnung ist zur Persona</w:t>
      </w:r>
      <w:r>
        <w:rPr>
          <w:sz w:val="20"/>
        </w:rPr>
        <w:t>lakte zu nehmen. Eine Verpflich</w:t>
      </w:r>
      <w:r w:rsidR="00630636" w:rsidRPr="007720CF">
        <w:rPr>
          <w:sz w:val="20"/>
        </w:rPr>
        <w:t>tung zur vorherigen Anhörung des Mitarbeiters besteht nicht, es sei denn, da</w:t>
      </w:r>
      <w:r>
        <w:rPr>
          <w:sz w:val="20"/>
        </w:rPr>
        <w:t>ss</w:t>
      </w:r>
      <w:r w:rsidR="00630636" w:rsidRPr="007720CF">
        <w:rPr>
          <w:sz w:val="20"/>
        </w:rPr>
        <w:t xml:space="preserve"> diese vertraglich vereinbart worden ist.</w:t>
      </w: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630636" w:rsidP="007720CF">
      <w:pPr>
        <w:spacing w:line="276" w:lineRule="auto"/>
        <w:ind w:left="567" w:hanging="567"/>
        <w:jc w:val="both"/>
        <w:rPr>
          <w:sz w:val="20"/>
        </w:rPr>
      </w:pPr>
      <w:r w:rsidRPr="007720CF">
        <w:rPr>
          <w:sz w:val="20"/>
        </w:rPr>
        <w:t xml:space="preserve">6. </w:t>
      </w:r>
      <w:r w:rsidR="007720CF">
        <w:rPr>
          <w:sz w:val="20"/>
        </w:rPr>
        <w:tab/>
      </w:r>
      <w:r w:rsidRPr="007720CF">
        <w:rPr>
          <w:sz w:val="20"/>
        </w:rPr>
        <w:t>Der Empfang der Abmahnung ist aus Beweisgründen vom Arbeitnehmer zu quittieren.</w:t>
      </w: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D967AB" w:rsidRPr="007720CF" w:rsidRDefault="00D967AB" w:rsidP="007720CF">
      <w:pPr>
        <w:spacing w:line="276" w:lineRule="auto"/>
        <w:jc w:val="both"/>
        <w:rPr>
          <w:sz w:val="20"/>
        </w:rPr>
      </w:pPr>
    </w:p>
    <w:p w:rsidR="00630636" w:rsidRPr="007720CF" w:rsidRDefault="00630636" w:rsidP="007720CF">
      <w:pPr>
        <w:pStyle w:val="Textkrper"/>
        <w:spacing w:line="276" w:lineRule="auto"/>
        <w:ind w:left="567" w:hanging="567"/>
        <w:rPr>
          <w:sz w:val="20"/>
        </w:rPr>
      </w:pPr>
      <w:r w:rsidRPr="007720CF">
        <w:rPr>
          <w:sz w:val="20"/>
        </w:rPr>
        <w:t xml:space="preserve">7. </w:t>
      </w:r>
      <w:r w:rsidR="007720CF">
        <w:rPr>
          <w:sz w:val="20"/>
        </w:rPr>
        <w:tab/>
      </w:r>
      <w:r w:rsidRPr="007720CF">
        <w:rPr>
          <w:sz w:val="20"/>
        </w:rPr>
        <w:t>Die Abmahnung unterliegt nicht der Mitbestimmun</w:t>
      </w:r>
      <w:r w:rsidR="007720CF">
        <w:rPr>
          <w:sz w:val="20"/>
        </w:rPr>
        <w:t>g des Betriebsrates. Dem Arbeit</w:t>
      </w:r>
      <w:r w:rsidRPr="007720CF">
        <w:rPr>
          <w:sz w:val="20"/>
        </w:rPr>
        <w:t>geber steht es daher frei, dem Betriebsrat eine Durchschrift der Abmahnung zur Kenntnis zu reichen. Mitbestimmungspflichtig wird die Abmahnung hin</w:t>
      </w:r>
      <w:bookmarkStart w:id="0" w:name="_GoBack"/>
      <w:bookmarkEnd w:id="0"/>
      <w:r w:rsidRPr="007720CF">
        <w:rPr>
          <w:sz w:val="20"/>
        </w:rPr>
        <w:t>gegen, wenn sie einen über den Warnzweck hinausgehenden Sanktionscharakter hat.</w:t>
      </w:r>
    </w:p>
    <w:sectPr w:rsidR="00630636" w:rsidRPr="007720C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D0"/>
    <w:rsid w:val="0020553E"/>
    <w:rsid w:val="00503F70"/>
    <w:rsid w:val="00630636"/>
    <w:rsid w:val="007720CF"/>
    <w:rsid w:val="00D002D0"/>
    <w:rsid w:val="00D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55C4AB"/>
  <w15:docId w15:val="{61ECCC9D-4CAB-49CC-817E-049BB18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">
    <w:name w:val="Body Text"/>
    <w:basedOn w:val="Standard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Abmahnung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Abmahnung</dc:title>
  <dc:subject/>
  <dc:creator>Kreishandwerkerschaft</dc:creator>
  <cp:keywords/>
  <cp:lastModifiedBy>Daniela Herling</cp:lastModifiedBy>
  <cp:revision>2</cp:revision>
  <cp:lastPrinted>2019-06-24T05:08:00Z</cp:lastPrinted>
  <dcterms:created xsi:type="dcterms:W3CDTF">2019-07-23T10:47:00Z</dcterms:created>
  <dcterms:modified xsi:type="dcterms:W3CDTF">2019-07-23T10:47:00Z</dcterms:modified>
</cp:coreProperties>
</file>